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513" w:rsidRPr="007441A8" w:rsidRDefault="00864286" w:rsidP="00D924CC">
      <w:pPr>
        <w:jc w:val="both"/>
        <w:rPr>
          <w:rFonts w:cs="Arial"/>
          <w:b/>
        </w:rPr>
      </w:pPr>
      <w:bookmarkStart w:id="0" w:name="_GoBack"/>
      <w:bookmarkEnd w:id="0"/>
      <w:r w:rsidRPr="007441A8">
        <w:rPr>
          <w:rFonts w:cs="Arial"/>
          <w:b/>
        </w:rPr>
        <w:tab/>
      </w:r>
      <w:r w:rsidRPr="007441A8">
        <w:rPr>
          <w:rFonts w:cs="Arial"/>
          <w:b/>
        </w:rPr>
        <w:tab/>
      </w:r>
      <w:r w:rsidRPr="007441A8">
        <w:rPr>
          <w:rFonts w:cs="Arial"/>
          <w:b/>
        </w:rPr>
        <w:tab/>
      </w:r>
      <w:r w:rsidRPr="007441A8">
        <w:rPr>
          <w:rFonts w:cs="Arial"/>
          <w:b/>
        </w:rPr>
        <w:tab/>
      </w:r>
      <w:r w:rsidRPr="007441A8">
        <w:rPr>
          <w:rFonts w:cs="Arial"/>
          <w:b/>
        </w:rPr>
        <w:tab/>
      </w:r>
      <w:r w:rsidRPr="007441A8">
        <w:rPr>
          <w:rFonts w:cs="Arial"/>
          <w:b/>
        </w:rPr>
        <w:tab/>
      </w:r>
      <w:r w:rsidRPr="007441A8">
        <w:rPr>
          <w:rFonts w:cs="Arial"/>
          <w:b/>
        </w:rPr>
        <w:tab/>
      </w:r>
      <w:r w:rsidRPr="007441A8">
        <w:rPr>
          <w:rFonts w:cs="Arial"/>
          <w:b/>
        </w:rPr>
        <w:tab/>
      </w:r>
      <w:r w:rsidRPr="007441A8">
        <w:rPr>
          <w:rFonts w:cs="Arial"/>
          <w:b/>
        </w:rPr>
        <w:tab/>
      </w:r>
      <w:r w:rsidRPr="007441A8">
        <w:rPr>
          <w:rFonts w:cs="Arial"/>
          <w:b/>
        </w:rPr>
        <w:tab/>
        <w:t xml:space="preserve">Appendix </w:t>
      </w:r>
      <w:r w:rsidR="00592CF0">
        <w:rPr>
          <w:rFonts w:cs="Arial"/>
          <w:b/>
        </w:rPr>
        <w:t>'</w:t>
      </w:r>
      <w:r w:rsidR="00115513" w:rsidRPr="007441A8">
        <w:rPr>
          <w:rFonts w:cs="Arial"/>
          <w:b/>
        </w:rPr>
        <w:t>A</w:t>
      </w:r>
      <w:r w:rsidR="00592CF0">
        <w:rPr>
          <w:rFonts w:cs="Arial"/>
          <w:b/>
        </w:rPr>
        <w:t>'</w:t>
      </w:r>
    </w:p>
    <w:p w:rsidR="00115513" w:rsidRPr="007441A8" w:rsidRDefault="00115513" w:rsidP="00D924CC">
      <w:pPr>
        <w:jc w:val="both"/>
        <w:rPr>
          <w:rFonts w:cs="Arial"/>
          <w:b/>
          <w:u w:val="single"/>
        </w:rPr>
      </w:pPr>
    </w:p>
    <w:p w:rsidR="00864286" w:rsidRPr="007441A8" w:rsidRDefault="00864286" w:rsidP="00D924CC">
      <w:pPr>
        <w:pStyle w:val="NoSpacing"/>
        <w:jc w:val="both"/>
        <w:rPr>
          <w:rFonts w:eastAsia="Times New Roman"/>
          <w:lang w:eastAsia="en-GB"/>
        </w:rPr>
      </w:pPr>
      <w:r w:rsidRPr="007441A8">
        <w:t xml:space="preserve">This Appendix to the Schools Budget </w:t>
      </w:r>
      <w:r w:rsidR="003703EB" w:rsidRPr="007441A8">
        <w:t>2017/18</w:t>
      </w:r>
      <w:r w:rsidRPr="007441A8">
        <w:t xml:space="preserve"> report has been prepared following receipt of pupil data and Dedicated Schools Grant (DSG) allocation information </w:t>
      </w:r>
      <w:r w:rsidR="00860460" w:rsidRPr="007441A8">
        <w:t xml:space="preserve">from the Education Funding Agency </w:t>
      </w:r>
      <w:r w:rsidR="003075D7" w:rsidRPr="007441A8">
        <w:t>and presents the estimated budget</w:t>
      </w:r>
      <w:r w:rsidR="00EF126C" w:rsidRPr="007441A8">
        <w:t>.</w:t>
      </w:r>
      <w:r w:rsidR="000602F6">
        <w:t xml:space="preserve">  A final A</w:t>
      </w:r>
      <w:r w:rsidR="003075D7" w:rsidRPr="007441A8">
        <w:t xml:space="preserve">ppendix will be submitted to the Cabinet Member on </w:t>
      </w:r>
      <w:r w:rsidR="003075D7" w:rsidRPr="007441A8">
        <w:rPr>
          <w:rFonts w:eastAsia="Times New Roman"/>
          <w:lang w:eastAsia="en-GB"/>
        </w:rPr>
        <w:t xml:space="preserve">the </w:t>
      </w:r>
      <w:r w:rsidR="00824BA3" w:rsidRPr="007441A8">
        <w:rPr>
          <w:rFonts w:eastAsia="Times New Roman"/>
          <w:lang w:eastAsia="en-GB"/>
        </w:rPr>
        <w:t>1</w:t>
      </w:r>
      <w:r w:rsidR="003703EB" w:rsidRPr="007441A8">
        <w:rPr>
          <w:rFonts w:eastAsia="Times New Roman"/>
          <w:lang w:eastAsia="en-GB"/>
        </w:rPr>
        <w:t>8</w:t>
      </w:r>
      <w:r w:rsidR="00824BA3" w:rsidRPr="007441A8">
        <w:rPr>
          <w:rFonts w:eastAsia="Times New Roman"/>
          <w:lang w:eastAsia="en-GB"/>
        </w:rPr>
        <w:t xml:space="preserve"> January 201</w:t>
      </w:r>
      <w:r w:rsidR="003703EB" w:rsidRPr="007441A8">
        <w:rPr>
          <w:rFonts w:eastAsia="Times New Roman"/>
          <w:lang w:eastAsia="en-GB"/>
        </w:rPr>
        <w:t>7</w:t>
      </w:r>
      <w:r w:rsidR="00824BA3" w:rsidRPr="007441A8">
        <w:rPr>
          <w:rFonts w:eastAsia="Times New Roman"/>
          <w:lang w:eastAsia="en-GB"/>
        </w:rPr>
        <w:t>, following consultation with the Lancashire Schools Forum</w:t>
      </w:r>
      <w:r w:rsidR="003075D7" w:rsidRPr="007441A8">
        <w:rPr>
          <w:rFonts w:eastAsia="Times New Roman"/>
          <w:lang w:eastAsia="en-GB"/>
        </w:rPr>
        <w:t>.</w:t>
      </w:r>
    </w:p>
    <w:p w:rsidR="00864286" w:rsidRPr="007441A8" w:rsidRDefault="00864286" w:rsidP="00D924CC">
      <w:pPr>
        <w:pStyle w:val="NoSpacing"/>
        <w:jc w:val="both"/>
      </w:pPr>
    </w:p>
    <w:p w:rsidR="00860460" w:rsidRDefault="00860460" w:rsidP="00D924CC">
      <w:pPr>
        <w:pStyle w:val="ListParagraph"/>
        <w:tabs>
          <w:tab w:val="left" w:pos="1635"/>
        </w:tabs>
        <w:ind w:left="0"/>
        <w:jc w:val="both"/>
        <w:rPr>
          <w:rFonts w:cs="Arial"/>
          <w:b/>
        </w:rPr>
      </w:pPr>
      <w:r w:rsidRPr="007441A8">
        <w:rPr>
          <w:rFonts w:cs="Arial"/>
          <w:b/>
        </w:rPr>
        <w:t xml:space="preserve">Summary </w:t>
      </w:r>
    </w:p>
    <w:p w:rsidR="000602F6" w:rsidRPr="007441A8" w:rsidRDefault="000602F6" w:rsidP="00D924CC">
      <w:pPr>
        <w:pStyle w:val="ListParagraph"/>
        <w:tabs>
          <w:tab w:val="left" w:pos="1635"/>
        </w:tabs>
        <w:ind w:left="0"/>
        <w:jc w:val="both"/>
        <w:rPr>
          <w:rFonts w:cs="Arial"/>
          <w:b/>
        </w:rPr>
      </w:pPr>
    </w:p>
    <w:p w:rsidR="00860460" w:rsidRPr="007441A8" w:rsidRDefault="00860460" w:rsidP="00D924CC">
      <w:pPr>
        <w:pStyle w:val="ListParagraph"/>
        <w:tabs>
          <w:tab w:val="left" w:pos="1635"/>
        </w:tabs>
        <w:ind w:left="0"/>
        <w:jc w:val="both"/>
        <w:rPr>
          <w:rFonts w:cs="Arial"/>
        </w:rPr>
      </w:pPr>
      <w:r w:rsidRPr="007441A8">
        <w:rPr>
          <w:rFonts w:cs="Arial"/>
        </w:rPr>
        <w:t xml:space="preserve">On </w:t>
      </w:r>
      <w:r w:rsidR="00EF126C" w:rsidRPr="007441A8">
        <w:rPr>
          <w:rFonts w:cs="Arial"/>
        </w:rPr>
        <w:t>15</w:t>
      </w:r>
      <w:r w:rsidRPr="007441A8">
        <w:rPr>
          <w:rFonts w:cs="Arial"/>
        </w:rPr>
        <w:t xml:space="preserve"> December 201</w:t>
      </w:r>
      <w:r w:rsidR="00EF126C" w:rsidRPr="007441A8">
        <w:rPr>
          <w:rFonts w:cs="Arial"/>
        </w:rPr>
        <w:t>6</w:t>
      </w:r>
      <w:r w:rsidRPr="007441A8">
        <w:rPr>
          <w:rFonts w:cs="Arial"/>
        </w:rPr>
        <w:t>, the Education Funding Agency (EFA) provided the final schools block data based on the October 201</w:t>
      </w:r>
      <w:r w:rsidR="00EF126C" w:rsidRPr="007441A8">
        <w:rPr>
          <w:rFonts w:cs="Arial"/>
        </w:rPr>
        <w:t>6</w:t>
      </w:r>
      <w:r w:rsidR="00824BA3" w:rsidRPr="007441A8">
        <w:rPr>
          <w:rFonts w:cs="Arial"/>
        </w:rPr>
        <w:t xml:space="preserve"> </w:t>
      </w:r>
      <w:r w:rsidRPr="007441A8">
        <w:rPr>
          <w:rFonts w:cs="Arial"/>
        </w:rPr>
        <w:t xml:space="preserve">School Census to be used in the calculation of the Schools Budget for </w:t>
      </w:r>
      <w:r w:rsidR="00EF126C" w:rsidRPr="007441A8">
        <w:rPr>
          <w:rFonts w:cs="Arial"/>
        </w:rPr>
        <w:t>2017/18</w:t>
      </w:r>
      <w:r w:rsidRPr="007441A8">
        <w:rPr>
          <w:rFonts w:cs="Arial"/>
        </w:rPr>
        <w:t xml:space="preserve">. </w:t>
      </w:r>
    </w:p>
    <w:p w:rsidR="00860460" w:rsidRPr="007441A8" w:rsidRDefault="00860460" w:rsidP="00D924CC">
      <w:pPr>
        <w:pStyle w:val="ListParagraph"/>
        <w:tabs>
          <w:tab w:val="left" w:pos="1635"/>
        </w:tabs>
        <w:ind w:left="0"/>
        <w:jc w:val="both"/>
        <w:rPr>
          <w:rFonts w:cs="Arial"/>
        </w:rPr>
      </w:pPr>
    </w:p>
    <w:p w:rsidR="000602F6" w:rsidRDefault="000602F6" w:rsidP="00D924CC">
      <w:pPr>
        <w:jc w:val="both"/>
        <w:rPr>
          <w:rFonts w:cs="Arial"/>
        </w:rPr>
      </w:pPr>
      <w:r w:rsidRPr="007441A8">
        <w:rPr>
          <w:rFonts w:cs="Arial"/>
        </w:rPr>
        <w:t>On 20 December 2016, the EFA issued the 2017/18 Dedicated Schools Grant (DSG) allocation for Lancashire.</w:t>
      </w:r>
    </w:p>
    <w:p w:rsidR="000602F6" w:rsidRDefault="000602F6" w:rsidP="00D924CC">
      <w:pPr>
        <w:jc w:val="both"/>
        <w:rPr>
          <w:rFonts w:cs="Arial"/>
        </w:rPr>
      </w:pPr>
    </w:p>
    <w:p w:rsidR="00824BA3" w:rsidRPr="007441A8" w:rsidRDefault="00860460" w:rsidP="00D924CC">
      <w:pPr>
        <w:jc w:val="both"/>
        <w:rPr>
          <w:rFonts w:cs="Arial"/>
        </w:rPr>
      </w:pPr>
      <w:r w:rsidRPr="007441A8">
        <w:rPr>
          <w:rFonts w:cs="Arial"/>
        </w:rPr>
        <w:t>The EFA sub</w:t>
      </w:r>
      <w:r w:rsidR="001C6807" w:rsidRPr="007441A8">
        <w:rPr>
          <w:rFonts w:cs="Arial"/>
        </w:rPr>
        <w:t>-</w:t>
      </w:r>
      <w:r w:rsidRPr="007441A8">
        <w:rPr>
          <w:rFonts w:cs="Arial"/>
        </w:rPr>
        <w:t xml:space="preserve">divide the Dedicated Schools Grant (DSG) into three un-ring fenced blocks, namely: Early Years Block, Schools Block and High Needs Block.  </w:t>
      </w:r>
    </w:p>
    <w:p w:rsidR="00D70A14" w:rsidRPr="007441A8" w:rsidRDefault="00D70A14" w:rsidP="00D924CC">
      <w:pPr>
        <w:jc w:val="both"/>
        <w:rPr>
          <w:rFonts w:cs="Arial"/>
        </w:rPr>
      </w:pPr>
    </w:p>
    <w:p w:rsidR="009562F4" w:rsidRDefault="00D70A14" w:rsidP="00007073">
      <w:pPr>
        <w:pStyle w:val="ListParagraph"/>
        <w:tabs>
          <w:tab w:val="left" w:pos="1635"/>
        </w:tabs>
        <w:ind w:left="0"/>
        <w:jc w:val="both"/>
        <w:rPr>
          <w:rFonts w:cs="Arial"/>
        </w:rPr>
      </w:pPr>
      <w:r w:rsidRPr="007441A8">
        <w:rPr>
          <w:rFonts w:cs="Arial"/>
        </w:rPr>
        <w:t xml:space="preserve">The DSG for </w:t>
      </w:r>
      <w:r w:rsidR="00007073" w:rsidRPr="007441A8">
        <w:rPr>
          <w:rFonts w:cs="Arial"/>
        </w:rPr>
        <w:t>2017/18</w:t>
      </w:r>
      <w:r w:rsidR="009562F4" w:rsidRPr="007441A8">
        <w:rPr>
          <w:rFonts w:cs="Arial"/>
        </w:rPr>
        <w:t xml:space="preserve"> comprises:</w:t>
      </w:r>
    </w:p>
    <w:p w:rsidR="008B7021" w:rsidRPr="007441A8" w:rsidRDefault="008B7021" w:rsidP="00007073">
      <w:pPr>
        <w:pStyle w:val="ListParagraph"/>
        <w:tabs>
          <w:tab w:val="left" w:pos="1635"/>
        </w:tabs>
        <w:ind w:left="0"/>
        <w:jc w:val="both"/>
        <w:rPr>
          <w:rFonts w:cs="Arial"/>
        </w:rPr>
      </w:pPr>
    </w:p>
    <w:p w:rsidR="00007073" w:rsidRDefault="009562F4" w:rsidP="00007073">
      <w:pPr>
        <w:pStyle w:val="ListParagraph"/>
        <w:numPr>
          <w:ilvl w:val="0"/>
          <w:numId w:val="26"/>
        </w:numPr>
        <w:tabs>
          <w:tab w:val="left" w:pos="1635"/>
        </w:tabs>
        <w:jc w:val="both"/>
        <w:rPr>
          <w:rFonts w:cs="Arial"/>
        </w:rPr>
      </w:pPr>
      <w:r w:rsidRPr="007441A8">
        <w:rPr>
          <w:rFonts w:cs="Arial"/>
        </w:rPr>
        <w:t xml:space="preserve">Schools block </w:t>
      </w:r>
      <w:r w:rsidR="002814F9" w:rsidRPr="007441A8">
        <w:rPr>
          <w:rFonts w:cs="Arial"/>
        </w:rPr>
        <w:t>–</w:t>
      </w:r>
      <w:r w:rsidRPr="007441A8">
        <w:rPr>
          <w:rFonts w:cs="Arial"/>
        </w:rPr>
        <w:t xml:space="preserve"> </w:t>
      </w:r>
      <w:r w:rsidR="002814F9" w:rsidRPr="007441A8">
        <w:rPr>
          <w:rFonts w:cs="Arial"/>
        </w:rPr>
        <w:t xml:space="preserve">This is </w:t>
      </w:r>
      <w:r w:rsidRPr="007441A8">
        <w:rPr>
          <w:rFonts w:cs="Arial"/>
        </w:rPr>
        <w:t xml:space="preserve">based on </w:t>
      </w:r>
      <w:r w:rsidR="002814F9" w:rsidRPr="007441A8">
        <w:rPr>
          <w:rFonts w:cs="Arial"/>
        </w:rPr>
        <w:t xml:space="preserve">the </w:t>
      </w:r>
      <w:r w:rsidR="008B7021">
        <w:rPr>
          <w:rFonts w:cs="Arial"/>
        </w:rPr>
        <w:t>school block unit</w:t>
      </w:r>
      <w:r w:rsidRPr="007441A8">
        <w:rPr>
          <w:rFonts w:cs="Arial"/>
        </w:rPr>
        <w:t xml:space="preserve"> of funding (SBUF)</w:t>
      </w:r>
      <w:r w:rsidR="00007073" w:rsidRPr="007441A8">
        <w:rPr>
          <w:rFonts w:cs="Arial"/>
        </w:rPr>
        <w:t>. The EFA have confirmed that no LA will see a reduction in the level of per pupil funding in 2017/1</w:t>
      </w:r>
      <w:r w:rsidR="008B7021">
        <w:rPr>
          <w:rFonts w:cs="Arial"/>
        </w:rPr>
        <w:t>8</w:t>
      </w:r>
      <w:r w:rsidR="00007073" w:rsidRPr="007441A8">
        <w:rPr>
          <w:rFonts w:cs="Arial"/>
        </w:rPr>
        <w:t xml:space="preserve"> compared to 2016/17.  The</w:t>
      </w:r>
      <w:r w:rsidR="002814F9" w:rsidRPr="007441A8">
        <w:rPr>
          <w:rFonts w:cs="Arial"/>
        </w:rPr>
        <w:t xml:space="preserve"> </w:t>
      </w:r>
      <w:r w:rsidR="00007073" w:rsidRPr="007441A8">
        <w:rPr>
          <w:rFonts w:cs="Arial"/>
        </w:rPr>
        <w:t>2017/18</w:t>
      </w:r>
      <w:r w:rsidR="002814F9" w:rsidRPr="007441A8">
        <w:rPr>
          <w:rFonts w:cs="Arial"/>
        </w:rPr>
        <w:t xml:space="preserve"> SBUF </w:t>
      </w:r>
      <w:r w:rsidR="00007073" w:rsidRPr="007441A8">
        <w:rPr>
          <w:rFonts w:cs="Arial"/>
        </w:rPr>
        <w:t xml:space="preserve">for Lancashire </w:t>
      </w:r>
      <w:r w:rsidR="002814F9" w:rsidRPr="007441A8">
        <w:rPr>
          <w:rFonts w:cs="Arial"/>
        </w:rPr>
        <w:lastRenderedPageBreak/>
        <w:t xml:space="preserve">will be the same value as in 2015/16, </w:t>
      </w:r>
      <w:r w:rsidR="00007073" w:rsidRPr="007441A8">
        <w:rPr>
          <w:rFonts w:cs="Arial"/>
        </w:rPr>
        <w:t>adjusted for a transfer some of the Education Services Grant (ESG) retained duties funding into the DSG. Lancashire's 2017/18 SBUF is therefore £</w:t>
      </w:r>
      <w:r w:rsidR="00007073" w:rsidRPr="00007073">
        <w:rPr>
          <w:rFonts w:cs="Arial"/>
        </w:rPr>
        <w:t>4,504.45</w:t>
      </w:r>
      <w:r w:rsidR="00007073" w:rsidRPr="007441A8">
        <w:rPr>
          <w:rFonts w:cs="Arial"/>
        </w:rPr>
        <w:t xml:space="preserve"> per pupil.</w:t>
      </w:r>
    </w:p>
    <w:p w:rsidR="000602F6" w:rsidRDefault="000602F6" w:rsidP="000602F6">
      <w:pPr>
        <w:pStyle w:val="ListParagraph"/>
        <w:tabs>
          <w:tab w:val="left" w:pos="1635"/>
        </w:tabs>
        <w:jc w:val="both"/>
        <w:rPr>
          <w:rFonts w:cs="Arial"/>
        </w:rPr>
      </w:pPr>
    </w:p>
    <w:p w:rsidR="00592CF0" w:rsidRPr="007441A8" w:rsidRDefault="00592CF0" w:rsidP="000602F6">
      <w:pPr>
        <w:pStyle w:val="ListParagraph"/>
        <w:tabs>
          <w:tab w:val="left" w:pos="1635"/>
        </w:tabs>
        <w:jc w:val="both"/>
        <w:rPr>
          <w:rFonts w:cs="Arial"/>
        </w:rPr>
      </w:pPr>
    </w:p>
    <w:p w:rsidR="004B7BEE" w:rsidRPr="007441A8" w:rsidRDefault="009562F4" w:rsidP="00D924CC">
      <w:pPr>
        <w:pStyle w:val="ListParagraph"/>
        <w:numPr>
          <w:ilvl w:val="0"/>
          <w:numId w:val="26"/>
        </w:numPr>
        <w:jc w:val="both"/>
        <w:rPr>
          <w:rFonts w:cs="Arial"/>
        </w:rPr>
      </w:pPr>
      <w:r w:rsidRPr="007441A8">
        <w:rPr>
          <w:rFonts w:cs="Arial"/>
        </w:rPr>
        <w:t>Early years block covering:</w:t>
      </w:r>
    </w:p>
    <w:p w:rsidR="0017119E" w:rsidRPr="007441A8" w:rsidRDefault="0017119E" w:rsidP="0017119E">
      <w:pPr>
        <w:pStyle w:val="ListParagraph"/>
        <w:numPr>
          <w:ilvl w:val="1"/>
          <w:numId w:val="26"/>
        </w:numPr>
        <w:jc w:val="both"/>
        <w:rPr>
          <w:rFonts w:cs="Arial"/>
        </w:rPr>
      </w:pPr>
      <w:r w:rsidRPr="007441A8">
        <w:rPr>
          <w:rFonts w:cs="Arial"/>
        </w:rPr>
        <w:t>Early Years National Funding Formula (EYNFF)for 3 and 4 Years Olds, comprising</w:t>
      </w:r>
    </w:p>
    <w:p w:rsidR="0017119E" w:rsidRPr="007441A8" w:rsidRDefault="0017119E" w:rsidP="0017119E">
      <w:pPr>
        <w:pStyle w:val="ListParagraph"/>
        <w:numPr>
          <w:ilvl w:val="2"/>
          <w:numId w:val="26"/>
        </w:numPr>
        <w:jc w:val="both"/>
        <w:rPr>
          <w:rFonts w:cs="Arial"/>
        </w:rPr>
      </w:pPr>
      <w:r w:rsidRPr="007441A8">
        <w:rPr>
          <w:rFonts w:cs="Arial"/>
        </w:rPr>
        <w:t>Early years universal entitlement for 3 and 4 year olds</w:t>
      </w:r>
    </w:p>
    <w:p w:rsidR="0017119E" w:rsidRPr="007441A8" w:rsidRDefault="0017119E" w:rsidP="0017119E">
      <w:pPr>
        <w:pStyle w:val="ListParagraph"/>
        <w:numPr>
          <w:ilvl w:val="2"/>
          <w:numId w:val="26"/>
        </w:numPr>
        <w:jc w:val="both"/>
        <w:rPr>
          <w:rFonts w:cs="Arial"/>
        </w:rPr>
      </w:pPr>
      <w:r w:rsidRPr="007441A8">
        <w:rPr>
          <w:rFonts w:cs="Arial"/>
        </w:rPr>
        <w:t>Early years additional entitlement for 3 and 4 year old children of eligible working parents</w:t>
      </w:r>
    </w:p>
    <w:p w:rsidR="0017119E" w:rsidRPr="007441A8" w:rsidRDefault="0017119E" w:rsidP="0017119E">
      <w:pPr>
        <w:pStyle w:val="ListParagraph"/>
        <w:numPr>
          <w:ilvl w:val="1"/>
          <w:numId w:val="26"/>
        </w:numPr>
        <w:jc w:val="both"/>
        <w:rPr>
          <w:rFonts w:cs="Arial"/>
        </w:rPr>
      </w:pPr>
      <w:r w:rsidRPr="007441A8">
        <w:rPr>
          <w:rFonts w:cs="Arial"/>
        </w:rPr>
        <w:t>Early years pupil premium- initial allocation</w:t>
      </w:r>
    </w:p>
    <w:p w:rsidR="0017119E" w:rsidRPr="007441A8" w:rsidRDefault="0017119E" w:rsidP="0017119E">
      <w:pPr>
        <w:pStyle w:val="ListParagraph"/>
        <w:numPr>
          <w:ilvl w:val="1"/>
          <w:numId w:val="26"/>
        </w:numPr>
        <w:jc w:val="both"/>
        <w:rPr>
          <w:rFonts w:cs="Arial"/>
        </w:rPr>
      </w:pPr>
      <w:r w:rsidRPr="007441A8">
        <w:rPr>
          <w:rFonts w:cs="Arial"/>
        </w:rPr>
        <w:t>Early years supplementary funding for maintained nursery school - illustrative allocation</w:t>
      </w:r>
    </w:p>
    <w:p w:rsidR="0017119E" w:rsidRPr="007441A8" w:rsidRDefault="0017119E" w:rsidP="0017119E">
      <w:pPr>
        <w:pStyle w:val="ListParagraph"/>
        <w:numPr>
          <w:ilvl w:val="1"/>
          <w:numId w:val="26"/>
        </w:numPr>
        <w:jc w:val="both"/>
        <w:rPr>
          <w:rFonts w:cs="Arial"/>
        </w:rPr>
      </w:pPr>
      <w:r w:rsidRPr="007441A8">
        <w:rPr>
          <w:rFonts w:cs="Arial"/>
        </w:rPr>
        <w:t>Early years Disability Access Fund - illustrative allocation:</w:t>
      </w:r>
    </w:p>
    <w:p w:rsidR="0017119E" w:rsidRPr="007441A8" w:rsidRDefault="0017119E" w:rsidP="0017119E">
      <w:pPr>
        <w:pStyle w:val="ListParagraph"/>
        <w:numPr>
          <w:ilvl w:val="1"/>
          <w:numId w:val="26"/>
        </w:numPr>
        <w:jc w:val="both"/>
        <w:rPr>
          <w:rFonts w:cs="Arial"/>
        </w:rPr>
      </w:pPr>
      <w:r w:rsidRPr="007441A8">
        <w:rPr>
          <w:rFonts w:cs="Arial"/>
        </w:rPr>
        <w:t>Early years entitlement funding for disadvantaged 2 year olds</w:t>
      </w:r>
    </w:p>
    <w:p w:rsidR="000602F6" w:rsidRDefault="000602F6" w:rsidP="000602F6">
      <w:pPr>
        <w:pStyle w:val="ListParagraph"/>
        <w:ind w:left="1440"/>
        <w:jc w:val="both"/>
        <w:rPr>
          <w:rFonts w:cs="Arial"/>
        </w:rPr>
      </w:pPr>
    </w:p>
    <w:p w:rsidR="000602F6" w:rsidRPr="007441A8" w:rsidRDefault="000602F6" w:rsidP="000602F6">
      <w:pPr>
        <w:pStyle w:val="ListParagraph"/>
        <w:ind w:left="1440"/>
        <w:jc w:val="both"/>
        <w:rPr>
          <w:rFonts w:cs="Arial"/>
        </w:rPr>
      </w:pPr>
    </w:p>
    <w:p w:rsidR="00BF0E67" w:rsidRPr="007441A8" w:rsidRDefault="00BF0E67" w:rsidP="00864280">
      <w:pPr>
        <w:pStyle w:val="ListParagraph"/>
        <w:numPr>
          <w:ilvl w:val="0"/>
          <w:numId w:val="26"/>
        </w:numPr>
        <w:jc w:val="both"/>
      </w:pPr>
      <w:r w:rsidRPr="007441A8">
        <w:rPr>
          <w:rFonts w:cs="Arial"/>
        </w:rPr>
        <w:t>The HNB allocation for 2017/18 includes a</w:t>
      </w:r>
      <w:r w:rsidRPr="007441A8">
        <w:t xml:space="preserve"> cash flat allocation from 2016/17, supplemented by uplifts based on population and an adjustment to take account of some national transfers into the High Needs Block for post 16 funding.</w:t>
      </w:r>
    </w:p>
    <w:p w:rsidR="00BF5755" w:rsidRPr="007441A8" w:rsidRDefault="00BF5755" w:rsidP="00D924CC">
      <w:pPr>
        <w:jc w:val="both"/>
        <w:rPr>
          <w:rFonts w:cs="Arial"/>
        </w:rPr>
      </w:pPr>
    </w:p>
    <w:p w:rsidR="00E37107" w:rsidRDefault="00E37107" w:rsidP="00D924CC">
      <w:pPr>
        <w:jc w:val="both"/>
        <w:rPr>
          <w:rFonts w:cs="Arial"/>
        </w:rPr>
      </w:pPr>
    </w:p>
    <w:p w:rsidR="000602F6" w:rsidRDefault="000602F6" w:rsidP="00D924CC">
      <w:pPr>
        <w:jc w:val="both"/>
        <w:rPr>
          <w:rFonts w:cs="Arial"/>
        </w:rPr>
      </w:pPr>
    </w:p>
    <w:p w:rsidR="00592CF0" w:rsidRDefault="00592CF0" w:rsidP="00D924CC">
      <w:pPr>
        <w:pStyle w:val="Header"/>
        <w:jc w:val="both"/>
        <w:rPr>
          <w:rFonts w:cs="Arial"/>
          <w:b/>
          <w:szCs w:val="24"/>
          <w:u w:val="single"/>
        </w:rPr>
      </w:pPr>
    </w:p>
    <w:p w:rsidR="00EC03A9" w:rsidRDefault="00BF5755" w:rsidP="00D924CC">
      <w:pPr>
        <w:pStyle w:val="Header"/>
        <w:jc w:val="both"/>
        <w:rPr>
          <w:rFonts w:cs="Arial"/>
          <w:b/>
          <w:szCs w:val="24"/>
          <w:u w:val="single"/>
        </w:rPr>
      </w:pPr>
      <w:r w:rsidRPr="007441A8">
        <w:rPr>
          <w:rFonts w:cs="Arial"/>
          <w:b/>
          <w:szCs w:val="24"/>
          <w:u w:val="single"/>
        </w:rPr>
        <w:t xml:space="preserve">Forecast </w:t>
      </w:r>
      <w:r w:rsidR="00E37107" w:rsidRPr="007441A8">
        <w:rPr>
          <w:rFonts w:cs="Arial"/>
          <w:b/>
          <w:szCs w:val="24"/>
          <w:u w:val="single"/>
        </w:rPr>
        <w:t>DSG for 2017/18</w:t>
      </w:r>
    </w:p>
    <w:p w:rsidR="00592CF0" w:rsidRPr="007441A8" w:rsidRDefault="00592CF0" w:rsidP="00D924CC">
      <w:pPr>
        <w:pStyle w:val="Header"/>
        <w:jc w:val="both"/>
        <w:rPr>
          <w:rFonts w:cs="Arial"/>
          <w:b/>
          <w:szCs w:val="24"/>
          <w:u w:val="single"/>
        </w:rPr>
      </w:pPr>
    </w:p>
    <w:p w:rsidR="001C099A" w:rsidRPr="007441A8" w:rsidRDefault="00A66163" w:rsidP="001C099A">
      <w:pPr>
        <w:jc w:val="both"/>
        <w:rPr>
          <w:rFonts w:cs="Arial"/>
        </w:rPr>
      </w:pPr>
      <w:r w:rsidRPr="007441A8">
        <w:rPr>
          <w:rFonts w:cs="Arial"/>
        </w:rPr>
        <w:t xml:space="preserve">The forecast </w:t>
      </w:r>
      <w:r w:rsidR="00BF5755" w:rsidRPr="007441A8">
        <w:rPr>
          <w:rFonts w:cs="Arial"/>
        </w:rPr>
        <w:t xml:space="preserve">funding </w:t>
      </w:r>
      <w:r w:rsidRPr="007441A8">
        <w:rPr>
          <w:rFonts w:cs="Arial"/>
        </w:rPr>
        <w:t xml:space="preserve">to be used in </w:t>
      </w:r>
      <w:r w:rsidR="00D70A14" w:rsidRPr="007441A8">
        <w:rPr>
          <w:rFonts w:cs="Arial"/>
        </w:rPr>
        <w:t xml:space="preserve">the </w:t>
      </w:r>
      <w:r w:rsidRPr="007441A8">
        <w:rPr>
          <w:rFonts w:cs="Arial"/>
        </w:rPr>
        <w:t xml:space="preserve">calculation </w:t>
      </w:r>
      <w:r w:rsidR="00D70A14" w:rsidRPr="007441A8">
        <w:rPr>
          <w:rFonts w:cs="Arial"/>
        </w:rPr>
        <w:t xml:space="preserve">of </w:t>
      </w:r>
      <w:r w:rsidRPr="007441A8">
        <w:rPr>
          <w:rFonts w:cs="Arial"/>
        </w:rPr>
        <w:t xml:space="preserve">the </w:t>
      </w:r>
      <w:r w:rsidR="007D1E05" w:rsidRPr="007441A8">
        <w:rPr>
          <w:rFonts w:cs="Arial"/>
        </w:rPr>
        <w:t>Schools</w:t>
      </w:r>
      <w:r w:rsidRPr="007441A8">
        <w:rPr>
          <w:rFonts w:cs="Arial"/>
        </w:rPr>
        <w:t xml:space="preserve"> Budget for </w:t>
      </w:r>
      <w:r w:rsidR="00E37107" w:rsidRPr="007441A8">
        <w:rPr>
          <w:rFonts w:cs="Arial"/>
        </w:rPr>
        <w:t>2017/18</w:t>
      </w:r>
      <w:r w:rsidRPr="007441A8">
        <w:rPr>
          <w:rFonts w:cs="Arial"/>
        </w:rPr>
        <w:t xml:space="preserve"> is </w:t>
      </w:r>
      <w:r w:rsidR="00D70A14" w:rsidRPr="007441A8">
        <w:rPr>
          <w:rFonts w:cs="Arial"/>
        </w:rPr>
        <w:t>set out in</w:t>
      </w:r>
      <w:r w:rsidRPr="007441A8">
        <w:rPr>
          <w:rFonts w:cs="Arial"/>
        </w:rPr>
        <w:t xml:space="preserve"> the table below and amounts to a </w:t>
      </w:r>
      <w:r w:rsidRPr="00F8194B">
        <w:rPr>
          <w:rFonts w:cs="Arial"/>
        </w:rPr>
        <w:t>total of £</w:t>
      </w:r>
      <w:r w:rsidR="00ED4D2D" w:rsidRPr="00F8194B">
        <w:rPr>
          <w:rFonts w:cs="Arial"/>
        </w:rPr>
        <w:t>881.82m</w:t>
      </w:r>
      <w:r w:rsidR="006E7A64" w:rsidRPr="007441A8">
        <w:rPr>
          <w:rFonts w:cs="Arial"/>
        </w:rPr>
        <w:t>.</w:t>
      </w:r>
    </w:p>
    <w:p w:rsidR="00E37107" w:rsidRPr="007441A8" w:rsidRDefault="00E37107" w:rsidP="00E37107">
      <w:pPr>
        <w:jc w:val="both"/>
        <w:rPr>
          <w:rFonts w:cs="Arial"/>
        </w:rPr>
      </w:pPr>
    </w:p>
    <w:tbl>
      <w:tblPr>
        <w:tblStyle w:val="TableGrid"/>
        <w:tblW w:w="0" w:type="auto"/>
        <w:tblLook w:val="04A0" w:firstRow="1" w:lastRow="0" w:firstColumn="1" w:lastColumn="0" w:noHBand="0" w:noVBand="1"/>
      </w:tblPr>
      <w:tblGrid>
        <w:gridCol w:w="7936"/>
        <w:gridCol w:w="1080"/>
      </w:tblGrid>
      <w:tr w:rsidR="007441A8" w:rsidRPr="007441A8" w:rsidTr="006E7A64">
        <w:trPr>
          <w:trHeight w:val="300"/>
        </w:trPr>
        <w:tc>
          <w:tcPr>
            <w:tcW w:w="7936" w:type="dxa"/>
            <w:noWrap/>
            <w:hideMark/>
          </w:tcPr>
          <w:p w:rsidR="003B041F" w:rsidRPr="007441A8" w:rsidRDefault="003B041F" w:rsidP="003B041F">
            <w:pPr>
              <w:pStyle w:val="Header"/>
              <w:jc w:val="both"/>
              <w:rPr>
                <w:rFonts w:ascii="Arial" w:hAnsi="Arial" w:cs="Arial"/>
                <w:b/>
                <w:bCs/>
                <w:sz w:val="24"/>
                <w:szCs w:val="24"/>
                <w:u w:val="single"/>
              </w:rPr>
            </w:pPr>
            <w:r w:rsidRPr="007441A8">
              <w:rPr>
                <w:rFonts w:ascii="Arial" w:hAnsi="Arial" w:cs="Arial"/>
                <w:b/>
                <w:bCs/>
                <w:sz w:val="24"/>
                <w:szCs w:val="24"/>
                <w:u w:val="single"/>
              </w:rPr>
              <w:t>Forecast DSG Income</w:t>
            </w:r>
          </w:p>
        </w:tc>
        <w:tc>
          <w:tcPr>
            <w:tcW w:w="1080" w:type="dxa"/>
            <w:noWrap/>
            <w:hideMark/>
          </w:tcPr>
          <w:p w:rsidR="003B041F" w:rsidRPr="007441A8" w:rsidRDefault="003B041F" w:rsidP="007D1E66">
            <w:pPr>
              <w:pStyle w:val="Header"/>
              <w:jc w:val="center"/>
              <w:rPr>
                <w:rFonts w:ascii="Arial" w:hAnsi="Arial" w:cs="Arial"/>
                <w:sz w:val="24"/>
                <w:szCs w:val="24"/>
              </w:rPr>
            </w:pPr>
            <w:r w:rsidRPr="007441A8">
              <w:rPr>
                <w:rFonts w:ascii="Arial" w:hAnsi="Arial" w:cs="Arial"/>
                <w:sz w:val="24"/>
                <w:szCs w:val="24"/>
              </w:rPr>
              <w:t>£m's</w:t>
            </w:r>
          </w:p>
        </w:tc>
      </w:tr>
      <w:tr w:rsidR="007441A8" w:rsidRPr="007441A8" w:rsidTr="006E7A64">
        <w:trPr>
          <w:trHeight w:val="285"/>
        </w:trPr>
        <w:tc>
          <w:tcPr>
            <w:tcW w:w="7936" w:type="dxa"/>
            <w:noWrap/>
            <w:hideMark/>
          </w:tcPr>
          <w:p w:rsidR="003B041F" w:rsidRPr="007441A8" w:rsidRDefault="003B041F" w:rsidP="003B041F">
            <w:pPr>
              <w:pStyle w:val="Header"/>
              <w:jc w:val="both"/>
              <w:rPr>
                <w:rFonts w:ascii="Arial" w:hAnsi="Arial" w:cs="Arial"/>
                <w:sz w:val="24"/>
                <w:szCs w:val="24"/>
              </w:rPr>
            </w:pPr>
            <w:r w:rsidRPr="007441A8">
              <w:rPr>
                <w:rFonts w:ascii="Arial" w:hAnsi="Arial" w:cs="Arial"/>
                <w:sz w:val="24"/>
                <w:szCs w:val="24"/>
              </w:rPr>
              <w:t>Schools Block</w:t>
            </w:r>
          </w:p>
        </w:tc>
        <w:tc>
          <w:tcPr>
            <w:tcW w:w="1080" w:type="dxa"/>
            <w:noWrap/>
            <w:hideMark/>
          </w:tcPr>
          <w:p w:rsidR="003B041F" w:rsidRPr="007441A8" w:rsidRDefault="00FC18F5" w:rsidP="000D0032">
            <w:pPr>
              <w:pStyle w:val="Header"/>
              <w:jc w:val="right"/>
              <w:rPr>
                <w:rFonts w:ascii="Arial" w:hAnsi="Arial" w:cs="Arial"/>
                <w:sz w:val="24"/>
                <w:szCs w:val="24"/>
              </w:rPr>
            </w:pPr>
            <w:r w:rsidRPr="007441A8">
              <w:rPr>
                <w:rFonts w:ascii="Arial" w:hAnsi="Arial" w:cs="Arial"/>
                <w:sz w:val="24"/>
                <w:szCs w:val="24"/>
              </w:rPr>
              <w:t>714.67</w:t>
            </w:r>
          </w:p>
        </w:tc>
      </w:tr>
      <w:tr w:rsidR="007441A8" w:rsidRPr="007441A8" w:rsidTr="006E7A64">
        <w:trPr>
          <w:trHeight w:val="285"/>
        </w:trPr>
        <w:tc>
          <w:tcPr>
            <w:tcW w:w="7936" w:type="dxa"/>
            <w:noWrap/>
          </w:tcPr>
          <w:p w:rsidR="00FC18F5" w:rsidRPr="007441A8" w:rsidRDefault="00E0504B" w:rsidP="003B041F">
            <w:pPr>
              <w:pStyle w:val="Header"/>
              <w:jc w:val="both"/>
              <w:rPr>
                <w:rFonts w:ascii="Arial" w:hAnsi="Arial" w:cs="Arial"/>
                <w:sz w:val="24"/>
                <w:szCs w:val="24"/>
              </w:rPr>
            </w:pPr>
            <w:r w:rsidRPr="007441A8">
              <w:rPr>
                <w:rFonts w:ascii="Arial" w:hAnsi="Arial" w:cs="Arial"/>
                <w:sz w:val="24"/>
                <w:szCs w:val="24"/>
              </w:rPr>
              <w:t xml:space="preserve">Early Years Block </w:t>
            </w:r>
          </w:p>
        </w:tc>
        <w:tc>
          <w:tcPr>
            <w:tcW w:w="1080" w:type="dxa"/>
            <w:noWrap/>
          </w:tcPr>
          <w:p w:rsidR="00FC18F5" w:rsidRPr="007441A8" w:rsidRDefault="00E0504B" w:rsidP="000D0032">
            <w:pPr>
              <w:pStyle w:val="Header"/>
              <w:jc w:val="right"/>
              <w:rPr>
                <w:rFonts w:ascii="Arial" w:hAnsi="Arial" w:cs="Arial"/>
                <w:sz w:val="24"/>
                <w:szCs w:val="24"/>
              </w:rPr>
            </w:pPr>
            <w:r w:rsidRPr="007441A8">
              <w:rPr>
                <w:rFonts w:ascii="Arial" w:hAnsi="Arial" w:cs="Arial"/>
                <w:sz w:val="24"/>
                <w:szCs w:val="24"/>
              </w:rPr>
              <w:t>68.33</w:t>
            </w:r>
          </w:p>
        </w:tc>
      </w:tr>
      <w:tr w:rsidR="007441A8" w:rsidRPr="007441A8" w:rsidTr="006E7A64">
        <w:trPr>
          <w:trHeight w:val="285"/>
        </w:trPr>
        <w:tc>
          <w:tcPr>
            <w:tcW w:w="7936" w:type="dxa"/>
            <w:noWrap/>
          </w:tcPr>
          <w:p w:rsidR="00E0504B" w:rsidRPr="007441A8" w:rsidRDefault="00E0504B" w:rsidP="003B041F">
            <w:pPr>
              <w:pStyle w:val="Header"/>
              <w:jc w:val="both"/>
              <w:rPr>
                <w:rFonts w:ascii="Arial" w:hAnsi="Arial" w:cs="Arial"/>
                <w:sz w:val="24"/>
                <w:szCs w:val="24"/>
              </w:rPr>
            </w:pPr>
            <w:r w:rsidRPr="007441A8">
              <w:rPr>
                <w:rFonts w:ascii="Arial" w:hAnsi="Arial" w:cs="Arial"/>
                <w:sz w:val="24"/>
                <w:szCs w:val="24"/>
              </w:rPr>
              <w:t>High Needs Block</w:t>
            </w:r>
          </w:p>
        </w:tc>
        <w:tc>
          <w:tcPr>
            <w:tcW w:w="1080" w:type="dxa"/>
            <w:noWrap/>
          </w:tcPr>
          <w:p w:rsidR="00E0504B" w:rsidRPr="007441A8" w:rsidRDefault="00F8194B" w:rsidP="00ED4D2D">
            <w:pPr>
              <w:jc w:val="right"/>
              <w:rPr>
                <w:rFonts w:cs="Arial"/>
                <w:sz w:val="24"/>
              </w:rPr>
            </w:pPr>
            <w:r>
              <w:rPr>
                <w:rFonts w:ascii="Arial" w:hAnsi="Arial" w:cs="Arial"/>
                <w:sz w:val="24"/>
              </w:rPr>
              <w:t>98.82</w:t>
            </w:r>
          </w:p>
        </w:tc>
      </w:tr>
      <w:tr w:rsidR="007441A8" w:rsidRPr="007441A8" w:rsidTr="006E7A64">
        <w:trPr>
          <w:trHeight w:val="285"/>
        </w:trPr>
        <w:tc>
          <w:tcPr>
            <w:tcW w:w="7936" w:type="dxa"/>
            <w:noWrap/>
          </w:tcPr>
          <w:p w:rsidR="00E0504B" w:rsidRPr="007441A8" w:rsidRDefault="00E0504B" w:rsidP="003B041F">
            <w:pPr>
              <w:pStyle w:val="Header"/>
              <w:jc w:val="both"/>
              <w:rPr>
                <w:rFonts w:ascii="Arial" w:hAnsi="Arial" w:cs="Arial"/>
                <w:sz w:val="24"/>
                <w:szCs w:val="24"/>
              </w:rPr>
            </w:pPr>
          </w:p>
        </w:tc>
        <w:tc>
          <w:tcPr>
            <w:tcW w:w="1080" w:type="dxa"/>
            <w:noWrap/>
          </w:tcPr>
          <w:p w:rsidR="00E0504B" w:rsidRPr="007441A8" w:rsidRDefault="00E0504B" w:rsidP="000D0032">
            <w:pPr>
              <w:pStyle w:val="Header"/>
              <w:jc w:val="right"/>
              <w:rPr>
                <w:rFonts w:ascii="Arial" w:hAnsi="Arial" w:cs="Arial"/>
                <w:sz w:val="24"/>
                <w:szCs w:val="24"/>
              </w:rPr>
            </w:pPr>
          </w:p>
        </w:tc>
      </w:tr>
      <w:tr w:rsidR="007441A8" w:rsidRPr="007441A8" w:rsidTr="006E7A64">
        <w:trPr>
          <w:trHeight w:val="540"/>
        </w:trPr>
        <w:tc>
          <w:tcPr>
            <w:tcW w:w="7936" w:type="dxa"/>
            <w:noWrap/>
            <w:hideMark/>
          </w:tcPr>
          <w:p w:rsidR="003B041F" w:rsidRPr="007441A8" w:rsidRDefault="003B041F" w:rsidP="003B041F">
            <w:pPr>
              <w:pStyle w:val="Header"/>
              <w:jc w:val="both"/>
              <w:rPr>
                <w:rFonts w:ascii="Arial" w:hAnsi="Arial" w:cs="Arial"/>
                <w:sz w:val="24"/>
                <w:szCs w:val="24"/>
              </w:rPr>
            </w:pPr>
          </w:p>
          <w:p w:rsidR="003B041F" w:rsidRPr="007441A8" w:rsidRDefault="003B041F" w:rsidP="003B041F">
            <w:pPr>
              <w:pStyle w:val="Header"/>
              <w:jc w:val="both"/>
              <w:rPr>
                <w:rFonts w:ascii="Arial" w:hAnsi="Arial" w:cs="Arial"/>
                <w:b/>
                <w:sz w:val="24"/>
                <w:szCs w:val="24"/>
              </w:rPr>
            </w:pPr>
            <w:r w:rsidRPr="007441A8">
              <w:rPr>
                <w:rFonts w:ascii="Arial" w:hAnsi="Arial" w:cs="Arial"/>
                <w:b/>
                <w:sz w:val="24"/>
                <w:szCs w:val="24"/>
              </w:rPr>
              <w:t xml:space="preserve">Total forecast DSG Income </w:t>
            </w:r>
          </w:p>
          <w:p w:rsidR="003B041F" w:rsidRPr="007441A8" w:rsidRDefault="003B041F" w:rsidP="003B041F">
            <w:pPr>
              <w:pStyle w:val="Header"/>
              <w:jc w:val="both"/>
              <w:rPr>
                <w:rFonts w:ascii="Arial" w:hAnsi="Arial" w:cs="Arial"/>
                <w:sz w:val="24"/>
                <w:szCs w:val="24"/>
              </w:rPr>
            </w:pPr>
          </w:p>
        </w:tc>
        <w:tc>
          <w:tcPr>
            <w:tcW w:w="1080" w:type="dxa"/>
            <w:noWrap/>
            <w:hideMark/>
          </w:tcPr>
          <w:p w:rsidR="003B041F" w:rsidRPr="007441A8" w:rsidRDefault="003B041F" w:rsidP="000D0032">
            <w:pPr>
              <w:pStyle w:val="Header"/>
              <w:jc w:val="right"/>
              <w:rPr>
                <w:rFonts w:ascii="Arial" w:hAnsi="Arial" w:cs="Arial"/>
                <w:sz w:val="24"/>
                <w:szCs w:val="24"/>
              </w:rPr>
            </w:pPr>
          </w:p>
          <w:p w:rsidR="003B041F" w:rsidRPr="00F8194B" w:rsidRDefault="00ED4D2D" w:rsidP="00F8194B">
            <w:pPr>
              <w:jc w:val="right"/>
              <w:rPr>
                <w:rFonts w:ascii="Arial" w:hAnsi="Arial" w:cs="Arial"/>
                <w:b/>
                <w:sz w:val="24"/>
              </w:rPr>
            </w:pPr>
            <w:r w:rsidRPr="00F8194B">
              <w:rPr>
                <w:rFonts w:ascii="Arial" w:hAnsi="Arial" w:cs="Arial"/>
                <w:b/>
                <w:sz w:val="24"/>
              </w:rPr>
              <w:t>881.82</w:t>
            </w:r>
          </w:p>
        </w:tc>
      </w:tr>
    </w:tbl>
    <w:p w:rsidR="00505AD8" w:rsidRPr="007441A8" w:rsidRDefault="00505AD8" w:rsidP="00D924CC">
      <w:pPr>
        <w:pStyle w:val="Header"/>
        <w:jc w:val="both"/>
        <w:rPr>
          <w:rFonts w:cs="Arial"/>
          <w:szCs w:val="24"/>
        </w:rPr>
      </w:pPr>
    </w:p>
    <w:p w:rsidR="00B14F29" w:rsidRPr="007441A8" w:rsidRDefault="00B14F29" w:rsidP="00D924CC">
      <w:pPr>
        <w:pStyle w:val="Header"/>
        <w:jc w:val="both"/>
        <w:rPr>
          <w:rFonts w:cs="Arial"/>
          <w:i/>
          <w:szCs w:val="24"/>
        </w:rPr>
      </w:pPr>
    </w:p>
    <w:p w:rsidR="00917287" w:rsidRPr="007441A8" w:rsidRDefault="00917287" w:rsidP="00D924CC">
      <w:pPr>
        <w:pStyle w:val="Header"/>
        <w:jc w:val="both"/>
        <w:rPr>
          <w:rFonts w:cs="Arial"/>
          <w:b/>
          <w:szCs w:val="24"/>
          <w:u w:val="single"/>
        </w:rPr>
      </w:pPr>
      <w:r w:rsidRPr="007441A8">
        <w:rPr>
          <w:rFonts w:cs="Arial"/>
          <w:b/>
          <w:szCs w:val="24"/>
          <w:u w:val="single"/>
        </w:rPr>
        <w:t>DSG allocations</w:t>
      </w:r>
    </w:p>
    <w:p w:rsidR="008A37DC" w:rsidRPr="008A37DC" w:rsidRDefault="008A37DC" w:rsidP="00D924CC">
      <w:pPr>
        <w:pStyle w:val="Header"/>
        <w:jc w:val="both"/>
        <w:rPr>
          <w:rFonts w:cs="Arial"/>
          <w:szCs w:val="24"/>
        </w:rPr>
      </w:pPr>
      <w:r w:rsidRPr="008A37DC">
        <w:rPr>
          <w:rFonts w:cs="Arial"/>
          <w:szCs w:val="24"/>
        </w:rPr>
        <w:t>Further details about the composition of the 2017/18 DSG are provided below</w:t>
      </w:r>
      <w:r>
        <w:rPr>
          <w:rFonts w:cs="Arial"/>
          <w:szCs w:val="24"/>
        </w:rPr>
        <w:t>:</w:t>
      </w:r>
    </w:p>
    <w:p w:rsidR="008A37DC" w:rsidRPr="007441A8" w:rsidRDefault="008A37DC" w:rsidP="00D924CC">
      <w:pPr>
        <w:pStyle w:val="Header"/>
        <w:jc w:val="both"/>
        <w:rPr>
          <w:rFonts w:cs="Arial"/>
          <w:i/>
          <w:szCs w:val="24"/>
        </w:rPr>
      </w:pPr>
    </w:p>
    <w:p w:rsidR="00EC03A9" w:rsidRDefault="00EC03A9" w:rsidP="00D924CC">
      <w:pPr>
        <w:pStyle w:val="Header"/>
        <w:jc w:val="both"/>
        <w:rPr>
          <w:rFonts w:cs="Arial"/>
          <w:szCs w:val="24"/>
          <w:u w:val="single"/>
        </w:rPr>
      </w:pPr>
      <w:r w:rsidRPr="007441A8">
        <w:rPr>
          <w:rFonts w:cs="Arial"/>
          <w:szCs w:val="24"/>
          <w:u w:val="single"/>
        </w:rPr>
        <w:t>Schools Block £</w:t>
      </w:r>
      <w:r w:rsidR="00FC18F5" w:rsidRPr="007441A8">
        <w:rPr>
          <w:rFonts w:cs="Arial"/>
          <w:szCs w:val="24"/>
          <w:u w:val="single"/>
        </w:rPr>
        <w:t>714.67</w:t>
      </w:r>
      <w:r w:rsidR="00F60F85" w:rsidRPr="007441A8">
        <w:rPr>
          <w:rFonts w:cs="Arial"/>
          <w:szCs w:val="24"/>
          <w:u w:val="single"/>
        </w:rPr>
        <w:t>m</w:t>
      </w:r>
    </w:p>
    <w:p w:rsidR="000602F6" w:rsidRPr="007441A8" w:rsidRDefault="000602F6" w:rsidP="00D924CC">
      <w:pPr>
        <w:pStyle w:val="Header"/>
        <w:jc w:val="both"/>
        <w:rPr>
          <w:rFonts w:cs="Arial"/>
          <w:szCs w:val="24"/>
          <w:u w:val="single"/>
        </w:rPr>
      </w:pPr>
    </w:p>
    <w:p w:rsidR="00670B14" w:rsidRPr="007441A8" w:rsidRDefault="00FC18F5" w:rsidP="00D924CC">
      <w:pPr>
        <w:pStyle w:val="Header"/>
        <w:jc w:val="both"/>
        <w:rPr>
          <w:rFonts w:cs="Arial"/>
          <w:szCs w:val="24"/>
        </w:rPr>
      </w:pPr>
      <w:r w:rsidRPr="007441A8">
        <w:rPr>
          <w:rFonts w:cs="Arial"/>
          <w:szCs w:val="24"/>
        </w:rPr>
        <w:t>The 2017/18 Schools Block allocation of £714.67</w:t>
      </w:r>
      <w:r w:rsidR="0017119E">
        <w:rPr>
          <w:rFonts w:cs="Arial"/>
          <w:szCs w:val="24"/>
        </w:rPr>
        <w:t>m</w:t>
      </w:r>
      <w:r w:rsidRPr="007441A8">
        <w:rPr>
          <w:rFonts w:cs="Arial"/>
          <w:szCs w:val="24"/>
        </w:rPr>
        <w:t xml:space="preserve"> is calculated using t</w:t>
      </w:r>
      <w:r w:rsidR="00670B14" w:rsidRPr="007441A8">
        <w:rPr>
          <w:rFonts w:cs="Arial"/>
          <w:szCs w:val="24"/>
        </w:rPr>
        <w:t>he authority’s Schools Block Unit of Funding (SBUF)</w:t>
      </w:r>
      <w:r w:rsidRPr="007441A8">
        <w:rPr>
          <w:rFonts w:cs="Arial"/>
          <w:szCs w:val="24"/>
        </w:rPr>
        <w:t xml:space="preserve"> £</w:t>
      </w:r>
      <w:r w:rsidRPr="00007073">
        <w:rPr>
          <w:rFonts w:cs="Arial"/>
          <w:szCs w:val="24"/>
        </w:rPr>
        <w:t>4,504.45</w:t>
      </w:r>
      <w:r w:rsidR="00410D47">
        <w:rPr>
          <w:rFonts w:cs="Arial"/>
          <w:szCs w:val="24"/>
        </w:rPr>
        <w:t>.</w:t>
      </w:r>
      <w:r w:rsidR="00670B14" w:rsidRPr="007441A8">
        <w:rPr>
          <w:rFonts w:cs="Arial"/>
          <w:szCs w:val="24"/>
        </w:rPr>
        <w:t xml:space="preserve"> </w:t>
      </w:r>
    </w:p>
    <w:p w:rsidR="000654B1" w:rsidRPr="008A37DC" w:rsidRDefault="000654B1" w:rsidP="008A37DC">
      <w:pPr>
        <w:pStyle w:val="Default0"/>
        <w:jc w:val="both"/>
        <w:rPr>
          <w:color w:val="auto"/>
          <w:u w:val="single"/>
        </w:rPr>
      </w:pPr>
    </w:p>
    <w:p w:rsidR="008A37DC" w:rsidRPr="000602F6" w:rsidRDefault="008A37DC" w:rsidP="008A37DC">
      <w:pPr>
        <w:pStyle w:val="Default0"/>
        <w:jc w:val="both"/>
        <w:rPr>
          <w:i/>
          <w:color w:val="auto"/>
        </w:rPr>
      </w:pPr>
      <w:r w:rsidRPr="000602F6">
        <w:rPr>
          <w:i/>
          <w:color w:val="auto"/>
        </w:rPr>
        <w:t>Notes:</w:t>
      </w:r>
    </w:p>
    <w:p w:rsidR="008A37DC" w:rsidRPr="008A37DC" w:rsidRDefault="0017119E" w:rsidP="008A37DC">
      <w:pPr>
        <w:jc w:val="both"/>
        <w:rPr>
          <w:rFonts w:cs="Arial"/>
        </w:rPr>
      </w:pPr>
      <w:r>
        <w:rPr>
          <w:rFonts w:cs="Arial"/>
        </w:rPr>
        <w:t xml:space="preserve">The number of </w:t>
      </w:r>
      <w:r w:rsidR="008A37DC" w:rsidRPr="008A37DC">
        <w:rPr>
          <w:rFonts w:cs="Arial"/>
        </w:rPr>
        <w:t>Lancashire pupil</w:t>
      </w:r>
      <w:r>
        <w:rPr>
          <w:rFonts w:cs="Arial"/>
        </w:rPr>
        <w:t>s</w:t>
      </w:r>
      <w:r w:rsidR="008A37DC" w:rsidRPr="008A37DC">
        <w:rPr>
          <w:rFonts w:cs="Arial"/>
        </w:rPr>
        <w:t xml:space="preserve"> </w:t>
      </w:r>
      <w:r w:rsidR="008A37DC">
        <w:rPr>
          <w:rFonts w:cs="Arial"/>
        </w:rPr>
        <w:t>at primary and secondary schools and academies at the October 2016 school census were 158,659.  This figure is multiplied by the SBUF to calculate the Schools Block allocation.</w:t>
      </w:r>
    </w:p>
    <w:p w:rsidR="008A37DC" w:rsidRPr="008A37DC" w:rsidRDefault="008A37DC" w:rsidP="00410D47">
      <w:pPr>
        <w:jc w:val="both"/>
        <w:rPr>
          <w:rFonts w:cs="Arial"/>
        </w:rPr>
      </w:pPr>
    </w:p>
    <w:p w:rsidR="00410D47" w:rsidRPr="007441A8" w:rsidRDefault="00410D47" w:rsidP="00410D47">
      <w:pPr>
        <w:jc w:val="both"/>
        <w:rPr>
          <w:rFonts w:cs="Arial"/>
        </w:rPr>
      </w:pPr>
      <w:r w:rsidRPr="00410D47">
        <w:rPr>
          <w:rFonts w:cs="Arial"/>
        </w:rPr>
        <w:t xml:space="preserve">The 2017/18 </w:t>
      </w:r>
      <w:r>
        <w:rPr>
          <w:rFonts w:cs="Arial"/>
        </w:rPr>
        <w:t xml:space="preserve">Schools Block allocation incorporates </w:t>
      </w:r>
      <w:r w:rsidRPr="007441A8">
        <w:rPr>
          <w:rFonts w:cs="Arial"/>
        </w:rPr>
        <w:t xml:space="preserve">£2.59m of Education Services Grant (ESG) </w:t>
      </w:r>
      <w:r>
        <w:rPr>
          <w:rFonts w:cs="Arial"/>
        </w:rPr>
        <w:t xml:space="preserve">retained duties funding </w:t>
      </w:r>
      <w:r w:rsidR="0017119E">
        <w:rPr>
          <w:rFonts w:cs="Arial"/>
        </w:rPr>
        <w:t xml:space="preserve">that </w:t>
      </w:r>
      <w:r w:rsidRPr="00410D47">
        <w:rPr>
          <w:rFonts w:cs="Arial"/>
        </w:rPr>
        <w:t>has been transferred into the DSG schools block for 2017/18.</w:t>
      </w:r>
      <w:r w:rsidRPr="007441A8">
        <w:rPr>
          <w:rFonts w:cs="Arial"/>
        </w:rPr>
        <w:t>.</w:t>
      </w:r>
    </w:p>
    <w:p w:rsidR="00410D47" w:rsidRPr="00410D47" w:rsidRDefault="00410D47" w:rsidP="00410D47">
      <w:pPr>
        <w:jc w:val="both"/>
        <w:rPr>
          <w:rFonts w:cs="Arial"/>
        </w:rPr>
      </w:pPr>
    </w:p>
    <w:p w:rsidR="008A37DC" w:rsidRPr="00410D47" w:rsidRDefault="008A37DC" w:rsidP="00410D47">
      <w:pPr>
        <w:jc w:val="both"/>
        <w:rPr>
          <w:rFonts w:cs="Arial"/>
        </w:rPr>
      </w:pPr>
    </w:p>
    <w:p w:rsidR="004B7BEE" w:rsidRDefault="00EC03A9" w:rsidP="00D924CC">
      <w:pPr>
        <w:pStyle w:val="Header"/>
        <w:jc w:val="both"/>
        <w:rPr>
          <w:rFonts w:cs="Arial"/>
          <w:szCs w:val="24"/>
          <w:u w:val="single"/>
        </w:rPr>
      </w:pPr>
      <w:r w:rsidRPr="007441A8">
        <w:rPr>
          <w:rFonts w:cs="Arial"/>
          <w:szCs w:val="24"/>
          <w:u w:val="single"/>
        </w:rPr>
        <w:t>Early Years Block £</w:t>
      </w:r>
      <w:r w:rsidR="00EF126C" w:rsidRPr="007441A8">
        <w:rPr>
          <w:rFonts w:cs="Arial"/>
          <w:szCs w:val="24"/>
          <w:u w:val="single"/>
        </w:rPr>
        <w:t>68.33</w:t>
      </w:r>
      <w:r w:rsidR="003B041F" w:rsidRPr="007441A8">
        <w:rPr>
          <w:rFonts w:cs="Arial"/>
          <w:szCs w:val="24"/>
          <w:u w:val="single"/>
        </w:rPr>
        <w:t>m</w:t>
      </w:r>
    </w:p>
    <w:p w:rsidR="000602F6" w:rsidRPr="007441A8" w:rsidRDefault="000602F6" w:rsidP="00D924CC">
      <w:pPr>
        <w:pStyle w:val="Header"/>
        <w:jc w:val="both"/>
        <w:rPr>
          <w:rFonts w:cs="Arial"/>
          <w:szCs w:val="24"/>
          <w:u w:val="single"/>
        </w:rPr>
      </w:pPr>
    </w:p>
    <w:p w:rsidR="004B7BEE" w:rsidRPr="007441A8" w:rsidRDefault="00917287" w:rsidP="00D924CC">
      <w:pPr>
        <w:pStyle w:val="Header"/>
        <w:jc w:val="both"/>
        <w:rPr>
          <w:rFonts w:cs="Arial"/>
          <w:szCs w:val="24"/>
        </w:rPr>
      </w:pPr>
      <w:r w:rsidRPr="007441A8">
        <w:rPr>
          <w:rFonts w:cs="Arial"/>
          <w:szCs w:val="24"/>
        </w:rPr>
        <w:t xml:space="preserve">The </w:t>
      </w:r>
      <w:r w:rsidR="00EA11F4" w:rsidRPr="007441A8">
        <w:rPr>
          <w:rFonts w:cs="Arial"/>
          <w:szCs w:val="24"/>
        </w:rPr>
        <w:t>E</w:t>
      </w:r>
      <w:r w:rsidRPr="007441A8">
        <w:rPr>
          <w:rFonts w:cs="Arial"/>
          <w:szCs w:val="24"/>
        </w:rPr>
        <w:t xml:space="preserve">arly </w:t>
      </w:r>
      <w:r w:rsidR="00EA11F4" w:rsidRPr="007441A8">
        <w:rPr>
          <w:rFonts w:cs="Arial"/>
          <w:szCs w:val="24"/>
        </w:rPr>
        <w:t>Y</w:t>
      </w:r>
      <w:r w:rsidRPr="007441A8">
        <w:rPr>
          <w:rFonts w:cs="Arial"/>
          <w:szCs w:val="24"/>
        </w:rPr>
        <w:t xml:space="preserve">ears block </w:t>
      </w:r>
      <w:r w:rsidR="00F62ABB" w:rsidRPr="007441A8">
        <w:rPr>
          <w:rFonts w:cs="Arial"/>
        </w:rPr>
        <w:t>covering</w:t>
      </w:r>
      <w:r w:rsidRPr="007441A8">
        <w:rPr>
          <w:rFonts w:cs="Arial"/>
          <w:szCs w:val="24"/>
        </w:rPr>
        <w:t xml:space="preserve">: </w:t>
      </w:r>
    </w:p>
    <w:p w:rsidR="00F62ABB" w:rsidRPr="007441A8" w:rsidRDefault="00F62ABB" w:rsidP="00F62ABB">
      <w:pPr>
        <w:pStyle w:val="ListParagraph"/>
        <w:numPr>
          <w:ilvl w:val="0"/>
          <w:numId w:val="26"/>
        </w:numPr>
        <w:jc w:val="both"/>
        <w:rPr>
          <w:rFonts w:cs="Arial"/>
        </w:rPr>
      </w:pPr>
      <w:r w:rsidRPr="007441A8">
        <w:rPr>
          <w:rFonts w:cs="Arial"/>
        </w:rPr>
        <w:t>Early Years National Funding Formula (EYNFF)for 3 and 4 Years Olds, comprising</w:t>
      </w:r>
    </w:p>
    <w:p w:rsidR="00EF126C" w:rsidRPr="007441A8" w:rsidRDefault="00EF126C" w:rsidP="00F62ABB">
      <w:pPr>
        <w:pStyle w:val="ListParagraph"/>
        <w:numPr>
          <w:ilvl w:val="1"/>
          <w:numId w:val="26"/>
        </w:numPr>
        <w:jc w:val="both"/>
        <w:rPr>
          <w:rFonts w:cs="Arial"/>
        </w:rPr>
      </w:pPr>
      <w:r w:rsidRPr="007441A8">
        <w:rPr>
          <w:rFonts w:cs="Arial"/>
        </w:rPr>
        <w:t>Early years universal entitlement for 3 and 4 year olds</w:t>
      </w:r>
    </w:p>
    <w:p w:rsidR="00EF126C" w:rsidRPr="007441A8" w:rsidRDefault="00EF126C" w:rsidP="00F62ABB">
      <w:pPr>
        <w:pStyle w:val="ListParagraph"/>
        <w:numPr>
          <w:ilvl w:val="1"/>
          <w:numId w:val="26"/>
        </w:numPr>
        <w:jc w:val="both"/>
        <w:rPr>
          <w:rFonts w:cs="Arial"/>
        </w:rPr>
      </w:pPr>
      <w:r w:rsidRPr="007441A8">
        <w:rPr>
          <w:rFonts w:cs="Arial"/>
        </w:rPr>
        <w:t xml:space="preserve">Early years additional entitlement for 3 and 4 year old children of </w:t>
      </w:r>
      <w:r w:rsidR="00F62ABB" w:rsidRPr="007441A8">
        <w:rPr>
          <w:rFonts w:cs="Arial"/>
        </w:rPr>
        <w:t>eligible</w:t>
      </w:r>
      <w:r w:rsidRPr="007441A8">
        <w:rPr>
          <w:rFonts w:cs="Arial"/>
        </w:rPr>
        <w:t xml:space="preserve"> working parents</w:t>
      </w:r>
    </w:p>
    <w:p w:rsidR="00EF126C" w:rsidRPr="007441A8" w:rsidRDefault="00EF126C" w:rsidP="00EF126C">
      <w:pPr>
        <w:pStyle w:val="ListParagraph"/>
        <w:numPr>
          <w:ilvl w:val="0"/>
          <w:numId w:val="26"/>
        </w:numPr>
        <w:jc w:val="both"/>
        <w:rPr>
          <w:rFonts w:cs="Arial"/>
        </w:rPr>
      </w:pPr>
      <w:r w:rsidRPr="007441A8">
        <w:rPr>
          <w:rFonts w:cs="Arial"/>
        </w:rPr>
        <w:t>Early years pupil premium- initial allocation</w:t>
      </w:r>
    </w:p>
    <w:p w:rsidR="00EF126C" w:rsidRPr="007441A8" w:rsidRDefault="00EF126C" w:rsidP="00EF126C">
      <w:pPr>
        <w:pStyle w:val="ListParagraph"/>
        <w:numPr>
          <w:ilvl w:val="0"/>
          <w:numId w:val="26"/>
        </w:numPr>
        <w:jc w:val="both"/>
        <w:rPr>
          <w:rFonts w:cs="Arial"/>
        </w:rPr>
      </w:pPr>
      <w:r w:rsidRPr="007441A8">
        <w:rPr>
          <w:rFonts w:cs="Arial"/>
        </w:rPr>
        <w:t>Early years supplementary funding for maintained nursery school</w:t>
      </w:r>
      <w:r w:rsidR="00F62ABB" w:rsidRPr="007441A8">
        <w:rPr>
          <w:rFonts w:cs="Arial"/>
        </w:rPr>
        <w:t xml:space="preserve"> - illustrative allocation</w:t>
      </w:r>
    </w:p>
    <w:p w:rsidR="00EF126C" w:rsidRPr="007441A8" w:rsidRDefault="00EF126C" w:rsidP="00EF126C">
      <w:pPr>
        <w:pStyle w:val="ListParagraph"/>
        <w:numPr>
          <w:ilvl w:val="0"/>
          <w:numId w:val="26"/>
        </w:numPr>
        <w:jc w:val="both"/>
        <w:rPr>
          <w:rFonts w:cs="Arial"/>
        </w:rPr>
      </w:pPr>
      <w:r w:rsidRPr="007441A8">
        <w:rPr>
          <w:rFonts w:cs="Arial"/>
        </w:rPr>
        <w:t>Early years Disability Access Fund</w:t>
      </w:r>
      <w:r w:rsidR="00F62ABB" w:rsidRPr="007441A8">
        <w:rPr>
          <w:rFonts w:cs="Arial"/>
        </w:rPr>
        <w:t xml:space="preserve"> - illustrative allocation</w:t>
      </w:r>
      <w:r w:rsidR="0026699B" w:rsidRPr="007441A8">
        <w:rPr>
          <w:rFonts w:cs="Arial"/>
        </w:rPr>
        <w:t>:</w:t>
      </w:r>
    </w:p>
    <w:p w:rsidR="00EF126C" w:rsidRPr="007441A8" w:rsidRDefault="00EF126C" w:rsidP="00EF126C">
      <w:pPr>
        <w:pStyle w:val="ListParagraph"/>
        <w:numPr>
          <w:ilvl w:val="0"/>
          <w:numId w:val="26"/>
        </w:numPr>
        <w:jc w:val="both"/>
        <w:rPr>
          <w:rFonts w:cs="Arial"/>
        </w:rPr>
      </w:pPr>
      <w:r w:rsidRPr="007441A8">
        <w:rPr>
          <w:rFonts w:cs="Arial"/>
        </w:rPr>
        <w:t>Early years entitlement funding for disadvantaged 2 year olds</w:t>
      </w:r>
    </w:p>
    <w:p w:rsidR="000B5CA0" w:rsidRDefault="000B5CA0" w:rsidP="00D924CC">
      <w:pPr>
        <w:pStyle w:val="Default0"/>
        <w:ind w:left="720"/>
        <w:jc w:val="both"/>
        <w:rPr>
          <w:color w:val="auto"/>
        </w:rPr>
      </w:pPr>
    </w:p>
    <w:p w:rsidR="000602F6" w:rsidRDefault="000602F6" w:rsidP="00D924CC">
      <w:pPr>
        <w:pStyle w:val="Default0"/>
        <w:ind w:left="720"/>
        <w:jc w:val="both"/>
        <w:rPr>
          <w:color w:val="auto"/>
        </w:rPr>
      </w:pPr>
    </w:p>
    <w:p w:rsidR="000602F6" w:rsidRDefault="000602F6" w:rsidP="00D924CC">
      <w:pPr>
        <w:pStyle w:val="Default0"/>
        <w:ind w:left="720"/>
        <w:jc w:val="both"/>
        <w:rPr>
          <w:color w:val="auto"/>
        </w:rPr>
      </w:pPr>
    </w:p>
    <w:p w:rsidR="000602F6" w:rsidRDefault="000602F6" w:rsidP="00D924CC">
      <w:pPr>
        <w:pStyle w:val="Default0"/>
        <w:ind w:left="720"/>
        <w:jc w:val="both"/>
        <w:rPr>
          <w:color w:val="auto"/>
        </w:rPr>
      </w:pPr>
    </w:p>
    <w:p w:rsidR="00F62ABB" w:rsidRPr="007441A8" w:rsidRDefault="00F62ABB" w:rsidP="00F62ABB">
      <w:pPr>
        <w:pStyle w:val="Default0"/>
        <w:jc w:val="both"/>
        <w:rPr>
          <w:color w:val="auto"/>
        </w:rPr>
      </w:pPr>
      <w:r w:rsidRPr="007441A8">
        <w:rPr>
          <w:color w:val="auto"/>
        </w:rPr>
        <w:t>Illustrative 2017/18 allocations are provided in the table below:</w:t>
      </w:r>
    </w:p>
    <w:p w:rsidR="00F62ABB" w:rsidRPr="007441A8" w:rsidRDefault="00F62ABB" w:rsidP="00F62ABB">
      <w:pPr>
        <w:pStyle w:val="Default0"/>
        <w:jc w:val="both"/>
        <w:rPr>
          <w:color w:val="auto"/>
        </w:rPr>
      </w:pPr>
    </w:p>
    <w:tbl>
      <w:tblPr>
        <w:tblStyle w:val="TableGrid"/>
        <w:tblW w:w="0" w:type="auto"/>
        <w:tblLook w:val="04A0" w:firstRow="1" w:lastRow="0" w:firstColumn="1" w:lastColumn="0" w:noHBand="0" w:noVBand="1"/>
      </w:tblPr>
      <w:tblGrid>
        <w:gridCol w:w="6232"/>
        <w:gridCol w:w="2784"/>
      </w:tblGrid>
      <w:tr w:rsidR="007441A8" w:rsidRPr="007441A8" w:rsidTr="008E6B96">
        <w:tc>
          <w:tcPr>
            <w:tcW w:w="6232" w:type="dxa"/>
            <w:vAlign w:val="center"/>
          </w:tcPr>
          <w:p w:rsidR="00F62ABB" w:rsidRPr="007441A8" w:rsidRDefault="00F62ABB" w:rsidP="004F72A5">
            <w:pPr>
              <w:pStyle w:val="Default0"/>
              <w:jc w:val="center"/>
              <w:rPr>
                <w:rFonts w:ascii="Arial" w:hAnsi="Arial"/>
                <w:b/>
                <w:color w:val="auto"/>
                <w:sz w:val="24"/>
              </w:rPr>
            </w:pPr>
            <w:r w:rsidRPr="007441A8">
              <w:rPr>
                <w:rFonts w:ascii="Arial" w:hAnsi="Arial"/>
                <w:b/>
                <w:color w:val="auto"/>
                <w:sz w:val="24"/>
              </w:rPr>
              <w:t>Funding Stream</w:t>
            </w:r>
          </w:p>
        </w:tc>
        <w:tc>
          <w:tcPr>
            <w:tcW w:w="2784" w:type="dxa"/>
          </w:tcPr>
          <w:p w:rsidR="00F62ABB" w:rsidRPr="007441A8" w:rsidRDefault="00F62ABB" w:rsidP="00D566FB">
            <w:pPr>
              <w:pStyle w:val="Default0"/>
              <w:jc w:val="center"/>
              <w:rPr>
                <w:rFonts w:ascii="Arial" w:hAnsi="Arial"/>
                <w:b/>
                <w:color w:val="auto"/>
                <w:sz w:val="24"/>
              </w:rPr>
            </w:pPr>
            <w:r w:rsidRPr="007441A8">
              <w:rPr>
                <w:rFonts w:ascii="Arial" w:hAnsi="Arial"/>
                <w:b/>
                <w:color w:val="auto"/>
                <w:sz w:val="24"/>
              </w:rPr>
              <w:t>Illustrative 2017/18 Allocation</w:t>
            </w:r>
            <w:r w:rsidR="008E6B96" w:rsidRPr="007441A8">
              <w:rPr>
                <w:rFonts w:ascii="Arial" w:hAnsi="Arial"/>
                <w:b/>
                <w:color w:val="auto"/>
                <w:sz w:val="24"/>
              </w:rPr>
              <w:t xml:space="preserve"> (£m)</w:t>
            </w:r>
          </w:p>
        </w:tc>
      </w:tr>
      <w:tr w:rsidR="007441A8" w:rsidRPr="007441A8" w:rsidTr="008E6B96">
        <w:tc>
          <w:tcPr>
            <w:tcW w:w="6232" w:type="dxa"/>
          </w:tcPr>
          <w:p w:rsidR="00F62ABB" w:rsidRPr="007441A8" w:rsidRDefault="00F62ABB" w:rsidP="004F72A5">
            <w:pPr>
              <w:pStyle w:val="Default0"/>
              <w:jc w:val="both"/>
              <w:rPr>
                <w:rFonts w:ascii="Arial" w:hAnsi="Arial"/>
                <w:color w:val="auto"/>
                <w:sz w:val="24"/>
              </w:rPr>
            </w:pPr>
            <w:r w:rsidRPr="007441A8">
              <w:rPr>
                <w:rFonts w:ascii="Arial" w:hAnsi="Arial"/>
                <w:color w:val="auto"/>
                <w:sz w:val="24"/>
              </w:rPr>
              <w:t>Universal 3-4 year old entitlement funding</w:t>
            </w:r>
          </w:p>
        </w:tc>
        <w:tc>
          <w:tcPr>
            <w:tcW w:w="2784" w:type="dxa"/>
          </w:tcPr>
          <w:p w:rsidR="00F62ABB" w:rsidRPr="007441A8" w:rsidRDefault="008E6B96" w:rsidP="004F72A5">
            <w:pPr>
              <w:pStyle w:val="Default0"/>
              <w:jc w:val="right"/>
              <w:rPr>
                <w:rFonts w:ascii="Arial" w:hAnsi="Arial"/>
                <w:color w:val="auto"/>
                <w:sz w:val="24"/>
              </w:rPr>
            </w:pPr>
            <w:r w:rsidRPr="007441A8">
              <w:rPr>
                <w:rFonts w:ascii="Arial" w:hAnsi="Arial"/>
                <w:color w:val="auto"/>
                <w:sz w:val="24"/>
              </w:rPr>
              <w:t>44.49</w:t>
            </w:r>
          </w:p>
        </w:tc>
      </w:tr>
      <w:tr w:rsidR="007441A8" w:rsidRPr="007441A8" w:rsidTr="008E6B96">
        <w:tc>
          <w:tcPr>
            <w:tcW w:w="6232" w:type="dxa"/>
          </w:tcPr>
          <w:p w:rsidR="00F62ABB" w:rsidRPr="007441A8" w:rsidRDefault="00F62ABB" w:rsidP="004F72A5">
            <w:pPr>
              <w:pStyle w:val="Default0"/>
              <w:jc w:val="both"/>
              <w:rPr>
                <w:rFonts w:ascii="Arial" w:hAnsi="Arial"/>
                <w:color w:val="auto"/>
                <w:sz w:val="24"/>
              </w:rPr>
            </w:pPr>
            <w:r w:rsidRPr="007441A8">
              <w:rPr>
                <w:rFonts w:ascii="Arial" w:hAnsi="Arial"/>
                <w:color w:val="auto"/>
                <w:sz w:val="24"/>
              </w:rPr>
              <w:t>Additional hours for 3-4 year olds (in place from September 2017)</w:t>
            </w:r>
          </w:p>
        </w:tc>
        <w:tc>
          <w:tcPr>
            <w:tcW w:w="2784" w:type="dxa"/>
          </w:tcPr>
          <w:p w:rsidR="00F62ABB" w:rsidRPr="007441A8" w:rsidRDefault="008E6B96" w:rsidP="004F72A5">
            <w:pPr>
              <w:pStyle w:val="Default0"/>
              <w:jc w:val="right"/>
              <w:rPr>
                <w:rFonts w:ascii="Arial" w:hAnsi="Arial"/>
                <w:color w:val="auto"/>
                <w:sz w:val="24"/>
              </w:rPr>
            </w:pPr>
            <w:r w:rsidRPr="007441A8">
              <w:rPr>
                <w:rFonts w:ascii="Arial" w:hAnsi="Arial"/>
                <w:color w:val="auto"/>
                <w:sz w:val="24"/>
              </w:rPr>
              <w:t>7.89</w:t>
            </w:r>
          </w:p>
        </w:tc>
      </w:tr>
      <w:tr w:rsidR="007441A8" w:rsidRPr="007441A8" w:rsidTr="008E6B96">
        <w:tc>
          <w:tcPr>
            <w:tcW w:w="6232" w:type="dxa"/>
          </w:tcPr>
          <w:p w:rsidR="00F62ABB" w:rsidRPr="007441A8" w:rsidRDefault="00F62ABB" w:rsidP="004F72A5">
            <w:pPr>
              <w:pStyle w:val="Default0"/>
              <w:jc w:val="both"/>
              <w:rPr>
                <w:rFonts w:ascii="Arial" w:hAnsi="Arial"/>
                <w:color w:val="auto"/>
                <w:sz w:val="24"/>
              </w:rPr>
            </w:pPr>
            <w:r w:rsidRPr="007441A8">
              <w:rPr>
                <w:rFonts w:ascii="Arial" w:hAnsi="Arial"/>
                <w:color w:val="auto"/>
                <w:sz w:val="24"/>
              </w:rPr>
              <w:t>2-year-olds</w:t>
            </w:r>
          </w:p>
        </w:tc>
        <w:tc>
          <w:tcPr>
            <w:tcW w:w="2784" w:type="dxa"/>
          </w:tcPr>
          <w:p w:rsidR="00F62ABB" w:rsidRPr="007441A8" w:rsidRDefault="008E6B96" w:rsidP="004F72A5">
            <w:pPr>
              <w:pStyle w:val="Default0"/>
              <w:jc w:val="right"/>
              <w:rPr>
                <w:rFonts w:ascii="Arial" w:hAnsi="Arial"/>
                <w:color w:val="auto"/>
                <w:sz w:val="24"/>
              </w:rPr>
            </w:pPr>
            <w:r w:rsidRPr="007441A8">
              <w:rPr>
                <w:rFonts w:ascii="Arial" w:hAnsi="Arial"/>
                <w:color w:val="auto"/>
                <w:sz w:val="24"/>
              </w:rPr>
              <w:t>10.82</w:t>
            </w:r>
          </w:p>
        </w:tc>
      </w:tr>
      <w:tr w:rsidR="007441A8" w:rsidRPr="007441A8" w:rsidTr="008E6B96">
        <w:tc>
          <w:tcPr>
            <w:tcW w:w="6232" w:type="dxa"/>
          </w:tcPr>
          <w:p w:rsidR="00F62ABB" w:rsidRPr="007441A8" w:rsidRDefault="00F62ABB" w:rsidP="004F72A5">
            <w:pPr>
              <w:pStyle w:val="Default0"/>
              <w:jc w:val="both"/>
              <w:rPr>
                <w:rFonts w:ascii="Arial" w:hAnsi="Arial"/>
                <w:color w:val="auto"/>
                <w:sz w:val="24"/>
              </w:rPr>
            </w:pPr>
            <w:r w:rsidRPr="007441A8">
              <w:rPr>
                <w:rFonts w:ascii="Arial" w:hAnsi="Arial"/>
                <w:color w:val="auto"/>
                <w:sz w:val="24"/>
              </w:rPr>
              <w:t>Maintained nursery school supplementary funding</w:t>
            </w:r>
          </w:p>
        </w:tc>
        <w:tc>
          <w:tcPr>
            <w:tcW w:w="2784" w:type="dxa"/>
          </w:tcPr>
          <w:p w:rsidR="00F62ABB" w:rsidRPr="007441A8" w:rsidRDefault="008E6B96" w:rsidP="004F72A5">
            <w:pPr>
              <w:pStyle w:val="Default0"/>
              <w:jc w:val="right"/>
              <w:rPr>
                <w:rFonts w:ascii="Arial" w:hAnsi="Arial"/>
                <w:color w:val="auto"/>
                <w:sz w:val="24"/>
              </w:rPr>
            </w:pPr>
            <w:r w:rsidRPr="007441A8">
              <w:rPr>
                <w:rFonts w:ascii="Arial" w:hAnsi="Arial"/>
                <w:color w:val="auto"/>
                <w:sz w:val="24"/>
              </w:rPr>
              <w:t>4.09</w:t>
            </w:r>
          </w:p>
        </w:tc>
      </w:tr>
      <w:tr w:rsidR="007441A8" w:rsidRPr="007441A8" w:rsidTr="008E6B96">
        <w:tc>
          <w:tcPr>
            <w:tcW w:w="6232" w:type="dxa"/>
          </w:tcPr>
          <w:p w:rsidR="00F62ABB" w:rsidRPr="007441A8" w:rsidRDefault="00871C0F" w:rsidP="00871C0F">
            <w:pPr>
              <w:pStyle w:val="Default0"/>
              <w:jc w:val="both"/>
              <w:rPr>
                <w:rFonts w:ascii="Arial" w:hAnsi="Arial"/>
                <w:color w:val="auto"/>
                <w:sz w:val="24"/>
              </w:rPr>
            </w:pPr>
            <w:r w:rsidRPr="007441A8">
              <w:rPr>
                <w:rFonts w:ascii="Arial" w:hAnsi="Arial"/>
                <w:color w:val="auto"/>
                <w:sz w:val="24"/>
              </w:rPr>
              <w:t>Early Years Pupil Premium (</w:t>
            </w:r>
            <w:r w:rsidR="00F62ABB" w:rsidRPr="007441A8">
              <w:rPr>
                <w:rFonts w:ascii="Arial" w:hAnsi="Arial"/>
                <w:color w:val="auto"/>
                <w:sz w:val="24"/>
              </w:rPr>
              <w:t>EYPP</w:t>
            </w:r>
            <w:r w:rsidRPr="007441A8">
              <w:rPr>
                <w:rFonts w:ascii="Arial" w:hAnsi="Arial"/>
                <w:color w:val="auto"/>
                <w:sz w:val="24"/>
              </w:rPr>
              <w:t>)</w:t>
            </w:r>
          </w:p>
        </w:tc>
        <w:tc>
          <w:tcPr>
            <w:tcW w:w="2784" w:type="dxa"/>
          </w:tcPr>
          <w:p w:rsidR="00F62ABB" w:rsidRPr="007441A8" w:rsidRDefault="0092745F" w:rsidP="004F72A5">
            <w:pPr>
              <w:pStyle w:val="Default0"/>
              <w:jc w:val="right"/>
              <w:rPr>
                <w:rFonts w:ascii="Arial" w:hAnsi="Arial"/>
                <w:color w:val="auto"/>
                <w:sz w:val="24"/>
              </w:rPr>
            </w:pPr>
            <w:r w:rsidRPr="007441A8">
              <w:rPr>
                <w:rFonts w:ascii="Arial" w:hAnsi="Arial"/>
                <w:color w:val="auto"/>
                <w:sz w:val="24"/>
              </w:rPr>
              <w:t>0.79</w:t>
            </w:r>
          </w:p>
        </w:tc>
      </w:tr>
      <w:tr w:rsidR="00F62ABB" w:rsidRPr="007441A8" w:rsidTr="008E6B96">
        <w:tc>
          <w:tcPr>
            <w:tcW w:w="6232" w:type="dxa"/>
          </w:tcPr>
          <w:p w:rsidR="00F62ABB" w:rsidRPr="007441A8" w:rsidRDefault="00F62ABB" w:rsidP="004F72A5">
            <w:pPr>
              <w:pStyle w:val="Default0"/>
              <w:jc w:val="both"/>
              <w:rPr>
                <w:rFonts w:ascii="Arial" w:hAnsi="Arial"/>
                <w:color w:val="auto"/>
                <w:sz w:val="24"/>
              </w:rPr>
            </w:pPr>
            <w:r w:rsidRPr="007441A8">
              <w:rPr>
                <w:rFonts w:ascii="Arial" w:hAnsi="Arial"/>
                <w:color w:val="auto"/>
                <w:sz w:val="24"/>
              </w:rPr>
              <w:t>Disability Access Fund</w:t>
            </w:r>
          </w:p>
        </w:tc>
        <w:tc>
          <w:tcPr>
            <w:tcW w:w="2784" w:type="dxa"/>
          </w:tcPr>
          <w:p w:rsidR="00F62ABB" w:rsidRPr="007441A8" w:rsidRDefault="0092745F" w:rsidP="004F72A5">
            <w:pPr>
              <w:pStyle w:val="Default0"/>
              <w:jc w:val="right"/>
              <w:rPr>
                <w:rFonts w:ascii="Arial" w:hAnsi="Arial"/>
                <w:color w:val="auto"/>
                <w:sz w:val="24"/>
              </w:rPr>
            </w:pPr>
            <w:r w:rsidRPr="007441A8">
              <w:rPr>
                <w:rFonts w:ascii="Arial" w:hAnsi="Arial"/>
                <w:color w:val="auto"/>
                <w:sz w:val="24"/>
              </w:rPr>
              <w:t>0.25</w:t>
            </w:r>
          </w:p>
        </w:tc>
      </w:tr>
    </w:tbl>
    <w:p w:rsidR="00F62ABB" w:rsidRPr="007441A8" w:rsidRDefault="00F62ABB" w:rsidP="00D924CC">
      <w:pPr>
        <w:pStyle w:val="Default0"/>
        <w:ind w:left="720"/>
        <w:jc w:val="both"/>
        <w:rPr>
          <w:color w:val="auto"/>
        </w:rPr>
      </w:pPr>
    </w:p>
    <w:p w:rsidR="00F62ABB" w:rsidRPr="000602F6" w:rsidRDefault="00F62ABB" w:rsidP="00F62ABB">
      <w:pPr>
        <w:pStyle w:val="Default0"/>
        <w:jc w:val="both"/>
        <w:rPr>
          <w:i/>
          <w:color w:val="auto"/>
        </w:rPr>
      </w:pPr>
      <w:r w:rsidRPr="000602F6">
        <w:rPr>
          <w:i/>
          <w:color w:val="auto"/>
        </w:rPr>
        <w:t>Notes:</w:t>
      </w:r>
    </w:p>
    <w:p w:rsidR="00F62ABB" w:rsidRPr="007441A8" w:rsidRDefault="00F62ABB" w:rsidP="00F62ABB">
      <w:pPr>
        <w:pStyle w:val="Default0"/>
        <w:jc w:val="both"/>
        <w:rPr>
          <w:color w:val="auto"/>
        </w:rPr>
      </w:pPr>
      <w:r w:rsidRPr="007441A8">
        <w:rPr>
          <w:color w:val="auto"/>
        </w:rPr>
        <w:t xml:space="preserve">Lancashire's </w:t>
      </w:r>
      <w:r w:rsidR="00871C0F" w:rsidRPr="007441A8">
        <w:rPr>
          <w:color w:val="auto"/>
        </w:rPr>
        <w:t xml:space="preserve">has received the </w:t>
      </w:r>
      <w:r w:rsidRPr="007441A8">
        <w:rPr>
          <w:color w:val="auto"/>
        </w:rPr>
        <w:t xml:space="preserve">EYNFF </w:t>
      </w:r>
      <w:r w:rsidR="00871C0F" w:rsidRPr="007441A8">
        <w:rPr>
          <w:color w:val="auto"/>
        </w:rPr>
        <w:t xml:space="preserve">at the </w:t>
      </w:r>
      <w:r w:rsidRPr="007441A8">
        <w:rPr>
          <w:color w:val="auto"/>
        </w:rPr>
        <w:t xml:space="preserve">national minimum funding rate of £4.30 per hour to local authorities.  </w:t>
      </w:r>
      <w:r w:rsidR="00871C0F" w:rsidRPr="007441A8">
        <w:rPr>
          <w:color w:val="auto"/>
        </w:rPr>
        <w:t xml:space="preserve">This allocation covers the </w:t>
      </w:r>
      <w:r w:rsidR="00871C0F" w:rsidRPr="007441A8">
        <w:rPr>
          <w:rFonts w:eastAsia="Times New Roman"/>
          <w:color w:val="auto"/>
          <w:lang w:eastAsia="en-GB"/>
        </w:rPr>
        <w:t>Universal 3-4 year old entitlement funding and the additional hours for 3-4 year olds, which is being introduced from S</w:t>
      </w:r>
      <w:r w:rsidR="00D566FB">
        <w:rPr>
          <w:rFonts w:eastAsia="Times New Roman"/>
          <w:color w:val="auto"/>
          <w:lang w:eastAsia="en-GB"/>
        </w:rPr>
        <w:t>eptember 2017.  This totals £52.38m</w:t>
      </w:r>
      <w:r w:rsidR="00871C0F" w:rsidRPr="007441A8">
        <w:rPr>
          <w:rFonts w:eastAsia="Times New Roman"/>
          <w:color w:val="auto"/>
          <w:lang w:eastAsia="en-GB"/>
        </w:rPr>
        <w:t xml:space="preserve"> for 2017/18.</w:t>
      </w:r>
    </w:p>
    <w:p w:rsidR="00871C0F" w:rsidRPr="007441A8" w:rsidRDefault="00871C0F" w:rsidP="00F62ABB">
      <w:pPr>
        <w:pStyle w:val="Default0"/>
        <w:jc w:val="both"/>
        <w:rPr>
          <w:color w:val="auto"/>
        </w:rPr>
      </w:pPr>
    </w:p>
    <w:p w:rsidR="00871C0F" w:rsidRPr="007441A8" w:rsidRDefault="00871C0F" w:rsidP="00F62ABB">
      <w:pPr>
        <w:pStyle w:val="Default0"/>
        <w:jc w:val="both"/>
        <w:rPr>
          <w:color w:val="auto"/>
        </w:rPr>
      </w:pPr>
      <w:r w:rsidRPr="007441A8">
        <w:rPr>
          <w:color w:val="auto"/>
        </w:rPr>
        <w:t>The hourly rate for 2 year old funding has increased to £5.20 per hour in 2017/18</w:t>
      </w:r>
      <w:r w:rsidR="00284A48" w:rsidRPr="007441A8">
        <w:rPr>
          <w:color w:val="auto"/>
        </w:rPr>
        <w:t xml:space="preserve">, from £4.85 in 2016/17.  This a national uplift of 7.14%. </w:t>
      </w:r>
    </w:p>
    <w:p w:rsidR="00871C0F" w:rsidRPr="007441A8" w:rsidRDefault="00871C0F" w:rsidP="00F62ABB">
      <w:pPr>
        <w:pStyle w:val="Default0"/>
        <w:jc w:val="both"/>
        <w:rPr>
          <w:color w:val="auto"/>
        </w:rPr>
      </w:pPr>
    </w:p>
    <w:p w:rsidR="00871C0F" w:rsidRPr="007441A8" w:rsidRDefault="00871C0F" w:rsidP="00871C0F">
      <w:pPr>
        <w:pStyle w:val="Default0"/>
        <w:jc w:val="both"/>
        <w:rPr>
          <w:color w:val="auto"/>
        </w:rPr>
      </w:pPr>
      <w:r w:rsidRPr="007441A8">
        <w:rPr>
          <w:color w:val="auto"/>
        </w:rPr>
        <w:t xml:space="preserve">In addition, Lancashire has received </w:t>
      </w:r>
      <w:r w:rsidR="00F62ABB" w:rsidRPr="007441A8">
        <w:rPr>
          <w:color w:val="auto"/>
        </w:rPr>
        <w:t>maintained nursery school (MNS) supplementary funding</w:t>
      </w:r>
      <w:r w:rsidRPr="007441A8">
        <w:rPr>
          <w:color w:val="auto"/>
        </w:rPr>
        <w:t xml:space="preserve">.  This supplementary funding is ring-fenced for maintained nursery schools only and is guaranteed for the lifetime of the current parliament </w:t>
      </w:r>
      <w:r w:rsidR="00D80ED6" w:rsidRPr="007441A8">
        <w:rPr>
          <w:color w:val="auto"/>
        </w:rPr>
        <w:t xml:space="preserve">(2019/20?) </w:t>
      </w:r>
      <w:r w:rsidRPr="007441A8">
        <w:rPr>
          <w:color w:val="auto"/>
        </w:rPr>
        <w:t xml:space="preserve">to keep </w:t>
      </w:r>
      <w:r w:rsidR="00D80ED6" w:rsidRPr="007441A8">
        <w:rPr>
          <w:color w:val="auto"/>
        </w:rPr>
        <w:t xml:space="preserve">maintained nursery schools </w:t>
      </w:r>
      <w:r w:rsidRPr="007441A8">
        <w:rPr>
          <w:color w:val="auto"/>
        </w:rPr>
        <w:t xml:space="preserve">funding stable during the implementation of the national funding formula. </w:t>
      </w:r>
      <w:r w:rsidR="004E3FD2">
        <w:rPr>
          <w:color w:val="auto"/>
        </w:rPr>
        <w:t xml:space="preserve"> A risk remains about the viability of maintained nursery schools if this supplementary grant is removed.</w:t>
      </w:r>
    </w:p>
    <w:p w:rsidR="00871C0F" w:rsidRPr="007441A8" w:rsidRDefault="00871C0F" w:rsidP="00F62ABB">
      <w:pPr>
        <w:pStyle w:val="Default0"/>
        <w:jc w:val="both"/>
        <w:rPr>
          <w:color w:val="auto"/>
        </w:rPr>
      </w:pPr>
    </w:p>
    <w:p w:rsidR="00871C0F" w:rsidRPr="007441A8" w:rsidRDefault="00871C0F" w:rsidP="00F62ABB">
      <w:pPr>
        <w:pStyle w:val="Default0"/>
        <w:jc w:val="both"/>
        <w:rPr>
          <w:color w:val="auto"/>
        </w:rPr>
      </w:pPr>
      <w:r w:rsidRPr="007441A8">
        <w:rPr>
          <w:color w:val="auto"/>
        </w:rPr>
        <w:t>Early Years Pupil Premium continues in 2017/18, at the same hourly rate as 2016/17 i.e. £0.53 per hour.</w:t>
      </w:r>
    </w:p>
    <w:p w:rsidR="00871C0F" w:rsidRPr="007441A8" w:rsidRDefault="00871C0F" w:rsidP="00F62ABB">
      <w:pPr>
        <w:pStyle w:val="Default0"/>
        <w:jc w:val="both"/>
        <w:rPr>
          <w:color w:val="auto"/>
        </w:rPr>
      </w:pPr>
    </w:p>
    <w:p w:rsidR="00871C0F" w:rsidRPr="007441A8" w:rsidRDefault="00D80ED6" w:rsidP="00F62ABB">
      <w:pPr>
        <w:pStyle w:val="Default0"/>
        <w:jc w:val="both"/>
        <w:rPr>
          <w:rFonts w:eastAsia="Times New Roman"/>
          <w:color w:val="auto"/>
          <w:lang w:eastAsia="en-GB"/>
        </w:rPr>
      </w:pPr>
      <w:r w:rsidRPr="007441A8">
        <w:rPr>
          <w:rFonts w:eastAsia="Times New Roman"/>
          <w:color w:val="auto"/>
          <w:lang w:eastAsia="en-GB"/>
        </w:rPr>
        <w:t xml:space="preserve">The </w:t>
      </w:r>
      <w:r w:rsidR="00284A48" w:rsidRPr="007441A8">
        <w:rPr>
          <w:rFonts w:eastAsia="Times New Roman"/>
          <w:color w:val="auto"/>
          <w:lang w:eastAsia="en-GB"/>
        </w:rPr>
        <w:t xml:space="preserve">Disability Access Fund </w:t>
      </w:r>
      <w:r w:rsidRPr="007441A8">
        <w:rPr>
          <w:rFonts w:eastAsia="Times New Roman"/>
          <w:color w:val="auto"/>
          <w:lang w:eastAsia="en-GB"/>
        </w:rPr>
        <w:t xml:space="preserve">is a new allocation for 2017/18, and is based on an estimated number of Lancashire 3 and </w:t>
      </w:r>
      <w:r w:rsidR="00E24245">
        <w:rPr>
          <w:rFonts w:eastAsia="Times New Roman"/>
          <w:color w:val="auto"/>
          <w:lang w:eastAsia="en-GB"/>
        </w:rPr>
        <w:t xml:space="preserve">4 </w:t>
      </w:r>
      <w:r w:rsidRPr="007441A8">
        <w:rPr>
          <w:rFonts w:eastAsia="Times New Roman"/>
          <w:color w:val="auto"/>
          <w:lang w:eastAsia="en-GB"/>
        </w:rPr>
        <w:t xml:space="preserve">year olds claiming Disability Living </w:t>
      </w:r>
      <w:r w:rsidR="00E24245">
        <w:rPr>
          <w:rFonts w:eastAsia="Times New Roman"/>
          <w:color w:val="auto"/>
          <w:lang w:eastAsia="en-GB"/>
        </w:rPr>
        <w:t>A</w:t>
      </w:r>
      <w:r w:rsidRPr="007441A8">
        <w:rPr>
          <w:rFonts w:eastAsia="Times New Roman"/>
          <w:color w:val="auto"/>
          <w:lang w:eastAsia="en-GB"/>
        </w:rPr>
        <w:t>llowance (DLA), at a rate of £615.</w:t>
      </w:r>
    </w:p>
    <w:p w:rsidR="00284A48" w:rsidRPr="007441A8" w:rsidRDefault="00284A48" w:rsidP="00F62ABB">
      <w:pPr>
        <w:pStyle w:val="Default0"/>
        <w:jc w:val="both"/>
        <w:rPr>
          <w:rFonts w:eastAsia="Times New Roman"/>
          <w:color w:val="auto"/>
          <w:lang w:eastAsia="en-GB"/>
        </w:rPr>
      </w:pPr>
    </w:p>
    <w:p w:rsidR="00B53BBF" w:rsidRPr="007441A8" w:rsidRDefault="00B53BBF" w:rsidP="00D924CC">
      <w:pPr>
        <w:pStyle w:val="Header"/>
        <w:jc w:val="both"/>
        <w:rPr>
          <w:rFonts w:cs="Arial"/>
          <w:szCs w:val="24"/>
        </w:rPr>
      </w:pPr>
    </w:p>
    <w:p w:rsidR="00EC03A9" w:rsidRPr="007441A8" w:rsidRDefault="00EC03A9" w:rsidP="00D924CC">
      <w:pPr>
        <w:pStyle w:val="Header"/>
        <w:jc w:val="both"/>
        <w:rPr>
          <w:rFonts w:cs="Arial"/>
          <w:szCs w:val="24"/>
          <w:u w:val="single"/>
        </w:rPr>
      </w:pPr>
      <w:r w:rsidRPr="007441A8">
        <w:rPr>
          <w:rFonts w:cs="Arial"/>
          <w:szCs w:val="24"/>
          <w:u w:val="single"/>
        </w:rPr>
        <w:t xml:space="preserve">High Needs Block </w:t>
      </w:r>
      <w:r w:rsidR="0092745F" w:rsidRPr="007441A8">
        <w:rPr>
          <w:rFonts w:cs="Arial"/>
          <w:szCs w:val="24"/>
          <w:u w:val="single"/>
        </w:rPr>
        <w:t xml:space="preserve">(HNB) </w:t>
      </w:r>
      <w:r w:rsidRPr="007441A8">
        <w:rPr>
          <w:rFonts w:cs="Arial"/>
          <w:szCs w:val="24"/>
          <w:u w:val="single"/>
        </w:rPr>
        <w:t>£</w:t>
      </w:r>
      <w:r w:rsidR="008A37DC">
        <w:rPr>
          <w:rFonts w:cs="Arial"/>
          <w:szCs w:val="24"/>
          <w:u w:val="single"/>
        </w:rPr>
        <w:t>98.81</w:t>
      </w:r>
    </w:p>
    <w:p w:rsidR="00F566DF" w:rsidRPr="007441A8" w:rsidRDefault="00F566DF" w:rsidP="00D924CC">
      <w:pPr>
        <w:pStyle w:val="Header"/>
        <w:jc w:val="both"/>
        <w:rPr>
          <w:rFonts w:cs="Arial"/>
          <w:szCs w:val="24"/>
        </w:rPr>
      </w:pPr>
    </w:p>
    <w:p w:rsidR="00F566DF" w:rsidRPr="007441A8" w:rsidRDefault="00F566DF" w:rsidP="00D406CC">
      <w:pPr>
        <w:pStyle w:val="Default0"/>
        <w:jc w:val="both"/>
        <w:rPr>
          <w:rFonts w:eastAsia="Times New Roman"/>
          <w:color w:val="auto"/>
          <w:lang w:eastAsia="en-GB"/>
        </w:rPr>
      </w:pPr>
      <w:r w:rsidRPr="007441A8">
        <w:rPr>
          <w:rFonts w:eastAsia="Times New Roman"/>
          <w:color w:val="auto"/>
          <w:lang w:eastAsia="en-GB"/>
        </w:rPr>
        <w:t>2017/18 HNB allocations are shown below</w:t>
      </w:r>
    </w:p>
    <w:p w:rsidR="00F566DF" w:rsidRPr="007441A8" w:rsidRDefault="00F566DF" w:rsidP="00D406CC">
      <w:pPr>
        <w:pStyle w:val="Default0"/>
        <w:jc w:val="both"/>
        <w:rPr>
          <w:rFonts w:eastAsia="Times New Roman"/>
          <w:color w:val="auto"/>
          <w:lang w:eastAsia="en-GB"/>
        </w:rPr>
      </w:pPr>
    </w:p>
    <w:tbl>
      <w:tblPr>
        <w:tblStyle w:val="TableGrid"/>
        <w:tblW w:w="0" w:type="auto"/>
        <w:tblLook w:val="04A0" w:firstRow="1" w:lastRow="0" w:firstColumn="1" w:lastColumn="0" w:noHBand="0" w:noVBand="1"/>
      </w:tblPr>
      <w:tblGrid>
        <w:gridCol w:w="5382"/>
        <w:gridCol w:w="3634"/>
      </w:tblGrid>
      <w:tr w:rsidR="007441A8" w:rsidRPr="007441A8" w:rsidTr="008E6B96">
        <w:tc>
          <w:tcPr>
            <w:tcW w:w="5382" w:type="dxa"/>
          </w:tcPr>
          <w:p w:rsidR="00F566DF" w:rsidRPr="007441A8" w:rsidRDefault="00F566DF" w:rsidP="00D406CC">
            <w:pPr>
              <w:pStyle w:val="Default0"/>
              <w:jc w:val="both"/>
              <w:rPr>
                <w:rFonts w:ascii="Arial" w:hAnsi="Arial"/>
                <w:b/>
                <w:color w:val="auto"/>
                <w:sz w:val="24"/>
              </w:rPr>
            </w:pPr>
          </w:p>
        </w:tc>
        <w:tc>
          <w:tcPr>
            <w:tcW w:w="3634" w:type="dxa"/>
          </w:tcPr>
          <w:p w:rsidR="00F566DF" w:rsidRPr="007441A8" w:rsidRDefault="00D406CC" w:rsidP="00D406CC">
            <w:pPr>
              <w:pStyle w:val="Default0"/>
              <w:jc w:val="right"/>
              <w:rPr>
                <w:rFonts w:ascii="Arial" w:hAnsi="Arial"/>
                <w:b/>
                <w:color w:val="auto"/>
                <w:sz w:val="24"/>
              </w:rPr>
            </w:pPr>
            <w:r w:rsidRPr="007441A8">
              <w:rPr>
                <w:rFonts w:ascii="Arial" w:hAnsi="Arial"/>
                <w:b/>
                <w:color w:val="auto"/>
                <w:sz w:val="24"/>
              </w:rPr>
              <w:t>2017/18 Allocation (£million)</w:t>
            </w:r>
          </w:p>
        </w:tc>
      </w:tr>
      <w:tr w:rsidR="007441A8" w:rsidRPr="007441A8" w:rsidTr="008E6B96">
        <w:tc>
          <w:tcPr>
            <w:tcW w:w="5382" w:type="dxa"/>
          </w:tcPr>
          <w:p w:rsidR="00F566DF" w:rsidRPr="007441A8" w:rsidRDefault="00D406CC" w:rsidP="008A37DC">
            <w:pPr>
              <w:pStyle w:val="Default0"/>
              <w:jc w:val="both"/>
              <w:rPr>
                <w:rFonts w:ascii="Arial" w:hAnsi="Arial"/>
                <w:color w:val="auto"/>
                <w:sz w:val="24"/>
              </w:rPr>
            </w:pPr>
            <w:r w:rsidRPr="007441A8">
              <w:rPr>
                <w:rFonts w:ascii="Arial" w:hAnsi="Arial"/>
                <w:color w:val="auto"/>
                <w:sz w:val="24"/>
              </w:rPr>
              <w:t xml:space="preserve">high needs block before deductions </w:t>
            </w:r>
          </w:p>
        </w:tc>
        <w:tc>
          <w:tcPr>
            <w:tcW w:w="3634" w:type="dxa"/>
          </w:tcPr>
          <w:p w:rsidR="00F566DF" w:rsidRPr="007441A8" w:rsidRDefault="00D406CC" w:rsidP="00D406CC">
            <w:pPr>
              <w:pStyle w:val="Default0"/>
              <w:jc w:val="right"/>
              <w:rPr>
                <w:rFonts w:ascii="Arial" w:hAnsi="Arial"/>
                <w:color w:val="auto"/>
                <w:sz w:val="24"/>
              </w:rPr>
            </w:pPr>
            <w:r w:rsidRPr="007441A8">
              <w:rPr>
                <w:rFonts w:ascii="Arial" w:hAnsi="Arial"/>
                <w:color w:val="auto"/>
                <w:sz w:val="24"/>
              </w:rPr>
              <w:t>106.72</w:t>
            </w:r>
          </w:p>
        </w:tc>
      </w:tr>
      <w:tr w:rsidR="007441A8" w:rsidRPr="007441A8" w:rsidTr="008E6B96">
        <w:tc>
          <w:tcPr>
            <w:tcW w:w="5382" w:type="dxa"/>
          </w:tcPr>
          <w:p w:rsidR="00F566DF" w:rsidRPr="007441A8" w:rsidRDefault="00D406CC" w:rsidP="00D406CC">
            <w:pPr>
              <w:pStyle w:val="Default0"/>
              <w:jc w:val="both"/>
              <w:rPr>
                <w:rFonts w:ascii="Arial" w:hAnsi="Arial"/>
                <w:color w:val="auto"/>
                <w:sz w:val="24"/>
              </w:rPr>
            </w:pPr>
            <w:r w:rsidRPr="007441A8">
              <w:rPr>
                <w:rFonts w:ascii="Arial" w:hAnsi="Arial"/>
                <w:color w:val="auto"/>
                <w:sz w:val="24"/>
              </w:rPr>
              <w:t>deductions to high needs block for direct funding of places by EFA</w:t>
            </w:r>
          </w:p>
        </w:tc>
        <w:tc>
          <w:tcPr>
            <w:tcW w:w="3634" w:type="dxa"/>
          </w:tcPr>
          <w:p w:rsidR="00F566DF" w:rsidRPr="007441A8" w:rsidRDefault="00D406CC" w:rsidP="00D406CC">
            <w:pPr>
              <w:pStyle w:val="Default0"/>
              <w:jc w:val="right"/>
              <w:rPr>
                <w:rFonts w:ascii="Arial" w:hAnsi="Arial"/>
                <w:color w:val="auto"/>
                <w:sz w:val="24"/>
              </w:rPr>
            </w:pPr>
            <w:r w:rsidRPr="007441A8">
              <w:rPr>
                <w:rFonts w:ascii="Arial" w:hAnsi="Arial"/>
                <w:color w:val="auto"/>
                <w:sz w:val="24"/>
              </w:rPr>
              <w:t>7.91</w:t>
            </w:r>
          </w:p>
        </w:tc>
      </w:tr>
      <w:tr w:rsidR="00F566DF" w:rsidRPr="007441A8" w:rsidTr="008E6B96">
        <w:tc>
          <w:tcPr>
            <w:tcW w:w="5382" w:type="dxa"/>
          </w:tcPr>
          <w:p w:rsidR="00F566DF" w:rsidRPr="007441A8" w:rsidRDefault="00D406CC" w:rsidP="00D406CC">
            <w:pPr>
              <w:pStyle w:val="Default0"/>
              <w:jc w:val="both"/>
              <w:rPr>
                <w:rFonts w:ascii="Arial" w:hAnsi="Arial"/>
                <w:color w:val="auto"/>
                <w:sz w:val="24"/>
              </w:rPr>
            </w:pPr>
            <w:r w:rsidRPr="007441A8">
              <w:rPr>
                <w:rFonts w:ascii="Arial" w:hAnsi="Arial"/>
                <w:color w:val="auto"/>
                <w:sz w:val="24"/>
              </w:rPr>
              <w:t>high needs block after deductions</w:t>
            </w:r>
          </w:p>
        </w:tc>
        <w:tc>
          <w:tcPr>
            <w:tcW w:w="3634" w:type="dxa"/>
          </w:tcPr>
          <w:p w:rsidR="00F566DF" w:rsidRPr="007441A8" w:rsidRDefault="00D406CC" w:rsidP="00D406CC">
            <w:pPr>
              <w:pStyle w:val="Default0"/>
              <w:jc w:val="right"/>
              <w:rPr>
                <w:rFonts w:ascii="Arial" w:hAnsi="Arial"/>
                <w:color w:val="auto"/>
                <w:sz w:val="24"/>
              </w:rPr>
            </w:pPr>
            <w:r w:rsidRPr="007441A8">
              <w:rPr>
                <w:rFonts w:ascii="Arial" w:hAnsi="Arial"/>
                <w:color w:val="auto"/>
                <w:sz w:val="24"/>
              </w:rPr>
              <w:t>98.81</w:t>
            </w:r>
          </w:p>
        </w:tc>
      </w:tr>
    </w:tbl>
    <w:p w:rsidR="00F566DF" w:rsidRPr="007441A8" w:rsidRDefault="00F566DF" w:rsidP="00D924CC">
      <w:pPr>
        <w:pStyle w:val="Header"/>
        <w:jc w:val="both"/>
        <w:rPr>
          <w:rFonts w:cs="Arial"/>
          <w:szCs w:val="24"/>
        </w:rPr>
      </w:pPr>
    </w:p>
    <w:p w:rsidR="00D406CC" w:rsidRPr="000602F6" w:rsidRDefault="00D406CC" w:rsidP="00D406CC">
      <w:pPr>
        <w:pStyle w:val="Default0"/>
        <w:jc w:val="both"/>
        <w:rPr>
          <w:i/>
          <w:color w:val="auto"/>
        </w:rPr>
      </w:pPr>
      <w:r w:rsidRPr="000602F6">
        <w:rPr>
          <w:i/>
          <w:color w:val="auto"/>
        </w:rPr>
        <w:t>Notes</w:t>
      </w:r>
    </w:p>
    <w:p w:rsidR="00D406CC" w:rsidRPr="007441A8" w:rsidRDefault="00D406CC" w:rsidP="00D406CC">
      <w:pPr>
        <w:pStyle w:val="Default0"/>
        <w:jc w:val="both"/>
        <w:rPr>
          <w:rFonts w:eastAsia="Times New Roman"/>
          <w:color w:val="auto"/>
          <w:lang w:eastAsia="en-GB"/>
        </w:rPr>
      </w:pPr>
    </w:p>
    <w:p w:rsidR="00D406CC" w:rsidRPr="007441A8" w:rsidRDefault="00D406CC" w:rsidP="00D406CC">
      <w:pPr>
        <w:pStyle w:val="Default0"/>
        <w:jc w:val="both"/>
        <w:rPr>
          <w:rFonts w:eastAsia="Times New Roman"/>
          <w:color w:val="auto"/>
          <w:lang w:eastAsia="en-GB"/>
        </w:rPr>
      </w:pPr>
      <w:r w:rsidRPr="007441A8">
        <w:rPr>
          <w:rFonts w:eastAsia="Times New Roman"/>
          <w:color w:val="auto"/>
          <w:lang w:eastAsia="en-GB"/>
        </w:rPr>
        <w:t>The HNB allocation for 2017/18 includes:</w:t>
      </w:r>
    </w:p>
    <w:p w:rsidR="00D406CC" w:rsidRPr="007441A8" w:rsidRDefault="00D406CC" w:rsidP="0092745F">
      <w:pPr>
        <w:pStyle w:val="Default0"/>
        <w:jc w:val="both"/>
        <w:rPr>
          <w:rFonts w:eastAsia="Times New Roman"/>
          <w:color w:val="auto"/>
          <w:lang w:eastAsia="en-GB"/>
        </w:rPr>
      </w:pPr>
      <w:r w:rsidRPr="007441A8">
        <w:rPr>
          <w:rFonts w:eastAsia="Times New Roman"/>
          <w:color w:val="auto"/>
          <w:lang w:eastAsia="en-GB"/>
        </w:rPr>
        <w:t>A cash flat allocation from 2016/17, supplemented by the following:</w:t>
      </w:r>
    </w:p>
    <w:p w:rsidR="00D406CC" w:rsidRPr="007441A8" w:rsidRDefault="00D406CC" w:rsidP="00D406CC">
      <w:pPr>
        <w:pStyle w:val="Default0"/>
        <w:numPr>
          <w:ilvl w:val="0"/>
          <w:numId w:val="32"/>
        </w:numPr>
        <w:jc w:val="both"/>
        <w:rPr>
          <w:rFonts w:eastAsia="Times New Roman"/>
          <w:color w:val="auto"/>
          <w:lang w:eastAsia="en-GB"/>
        </w:rPr>
      </w:pPr>
      <w:r w:rsidRPr="007441A8">
        <w:rPr>
          <w:rFonts w:eastAsia="Times New Roman"/>
          <w:color w:val="auto"/>
          <w:lang w:eastAsia="en-GB"/>
        </w:rPr>
        <w:t>£2.18m uplift based on population data</w:t>
      </w:r>
    </w:p>
    <w:p w:rsidR="00D406CC" w:rsidRPr="007441A8" w:rsidRDefault="00D406CC" w:rsidP="00D406CC">
      <w:pPr>
        <w:pStyle w:val="Default0"/>
        <w:numPr>
          <w:ilvl w:val="0"/>
          <w:numId w:val="32"/>
        </w:numPr>
        <w:jc w:val="both"/>
        <w:rPr>
          <w:rFonts w:eastAsia="Times New Roman"/>
          <w:color w:val="auto"/>
          <w:lang w:eastAsia="en-GB"/>
        </w:rPr>
      </w:pPr>
      <w:r w:rsidRPr="007441A8">
        <w:rPr>
          <w:rFonts w:eastAsia="Times New Roman"/>
          <w:color w:val="auto"/>
          <w:lang w:eastAsia="en-GB"/>
        </w:rPr>
        <w:t>£2.99 uplift to reflect a transfer of funding from the EFA post-16 budget to the High Needs Block</w:t>
      </w:r>
    </w:p>
    <w:p w:rsidR="00D406CC" w:rsidRPr="007441A8" w:rsidRDefault="0092745F" w:rsidP="0092745F">
      <w:pPr>
        <w:pStyle w:val="Default0"/>
        <w:jc w:val="both"/>
        <w:rPr>
          <w:rFonts w:eastAsia="Times New Roman"/>
          <w:color w:val="auto"/>
          <w:lang w:eastAsia="en-GB"/>
        </w:rPr>
      </w:pPr>
      <w:r w:rsidRPr="007441A8">
        <w:rPr>
          <w:rFonts w:eastAsia="Times New Roman"/>
          <w:color w:val="auto"/>
          <w:lang w:eastAsia="en-GB"/>
        </w:rPr>
        <w:t>This provides a total HNB before deductions of £106.72m.</w:t>
      </w:r>
    </w:p>
    <w:p w:rsidR="0092745F" w:rsidRPr="007441A8" w:rsidRDefault="0092745F" w:rsidP="0092745F">
      <w:pPr>
        <w:pStyle w:val="Default0"/>
        <w:jc w:val="both"/>
        <w:rPr>
          <w:rFonts w:eastAsia="Times New Roman"/>
          <w:color w:val="auto"/>
          <w:lang w:eastAsia="en-GB"/>
        </w:rPr>
      </w:pPr>
    </w:p>
    <w:p w:rsidR="0092745F" w:rsidRPr="007441A8" w:rsidRDefault="0092745F" w:rsidP="0092745F">
      <w:pPr>
        <w:pStyle w:val="Default0"/>
        <w:jc w:val="both"/>
        <w:rPr>
          <w:color w:val="auto"/>
        </w:rPr>
      </w:pPr>
      <w:r w:rsidRPr="007441A8">
        <w:rPr>
          <w:rFonts w:eastAsia="Times New Roman"/>
          <w:color w:val="auto"/>
          <w:lang w:eastAsia="en-GB"/>
        </w:rPr>
        <w:t>Deductions</w:t>
      </w:r>
      <w:r w:rsidR="002949E8">
        <w:rPr>
          <w:rFonts w:eastAsia="Times New Roman"/>
          <w:color w:val="auto"/>
          <w:lang w:eastAsia="en-GB"/>
        </w:rPr>
        <w:t xml:space="preserve"> will be made </w:t>
      </w:r>
      <w:r w:rsidRPr="007441A8">
        <w:rPr>
          <w:rFonts w:eastAsia="Times New Roman"/>
          <w:color w:val="auto"/>
          <w:lang w:eastAsia="en-GB"/>
        </w:rPr>
        <w:t>from the HNB allocation totalling £</w:t>
      </w:r>
      <w:r w:rsidRPr="007441A8">
        <w:rPr>
          <w:color w:val="auto"/>
        </w:rPr>
        <w:t>7.91m, which relates to allocations paid to institutions funded directly by the EFA.</w:t>
      </w:r>
      <w:r w:rsidR="00E537B5">
        <w:rPr>
          <w:color w:val="auto"/>
        </w:rPr>
        <w:t xml:space="preserve">  This includes the High Needs commissioned places at FE/6</w:t>
      </w:r>
      <w:r w:rsidR="00E537B5" w:rsidRPr="00E537B5">
        <w:rPr>
          <w:color w:val="auto"/>
          <w:vertAlign w:val="superscript"/>
        </w:rPr>
        <w:t>th</w:t>
      </w:r>
      <w:r w:rsidR="00E537B5">
        <w:rPr>
          <w:color w:val="auto"/>
        </w:rPr>
        <w:t xml:space="preserve"> form colleges, mainstream academies, AP academies, special school academies and </w:t>
      </w:r>
      <w:r w:rsidR="00E537B5" w:rsidRPr="00E537B5">
        <w:rPr>
          <w:color w:val="auto"/>
        </w:rPr>
        <w:t>charitable and commercial providers</w:t>
      </w:r>
      <w:r w:rsidR="00E537B5">
        <w:rPr>
          <w:color w:val="auto"/>
        </w:rPr>
        <w:t xml:space="preserve"> (CCPs).</w:t>
      </w:r>
    </w:p>
    <w:p w:rsidR="0092745F" w:rsidRPr="007441A8" w:rsidRDefault="0092745F" w:rsidP="0092745F">
      <w:pPr>
        <w:pStyle w:val="Default0"/>
        <w:jc w:val="both"/>
        <w:rPr>
          <w:color w:val="auto"/>
        </w:rPr>
      </w:pPr>
    </w:p>
    <w:p w:rsidR="0092745F" w:rsidRPr="007441A8" w:rsidRDefault="0092745F" w:rsidP="0092745F">
      <w:pPr>
        <w:pStyle w:val="Default0"/>
        <w:jc w:val="both"/>
        <w:rPr>
          <w:color w:val="auto"/>
        </w:rPr>
      </w:pPr>
      <w:r w:rsidRPr="007441A8">
        <w:rPr>
          <w:color w:val="auto"/>
        </w:rPr>
        <w:t xml:space="preserve">This provides a </w:t>
      </w:r>
      <w:r w:rsidR="002949E8">
        <w:rPr>
          <w:color w:val="auto"/>
        </w:rPr>
        <w:t xml:space="preserve">2017/18 </w:t>
      </w:r>
      <w:r w:rsidRPr="007441A8">
        <w:rPr>
          <w:color w:val="auto"/>
        </w:rPr>
        <w:t>HNB allocation of £98.81m</w:t>
      </w:r>
    </w:p>
    <w:p w:rsidR="00EC03A9" w:rsidRPr="008A37DC" w:rsidRDefault="00EC03A9" w:rsidP="00D924CC">
      <w:pPr>
        <w:pStyle w:val="Header"/>
        <w:ind w:left="360"/>
        <w:jc w:val="both"/>
        <w:rPr>
          <w:rFonts w:cs="Arial"/>
          <w:szCs w:val="24"/>
        </w:rPr>
      </w:pPr>
    </w:p>
    <w:p w:rsidR="004B7BEE" w:rsidRDefault="008A37DC" w:rsidP="00D924CC">
      <w:pPr>
        <w:pStyle w:val="Header"/>
        <w:jc w:val="both"/>
        <w:rPr>
          <w:rFonts w:cs="Arial"/>
          <w:szCs w:val="24"/>
          <w:u w:val="single"/>
        </w:rPr>
      </w:pPr>
      <w:r w:rsidRPr="008A37DC">
        <w:rPr>
          <w:rFonts w:cs="Arial"/>
          <w:szCs w:val="24"/>
          <w:u w:val="single"/>
        </w:rPr>
        <w:t>In Year Adjustments</w:t>
      </w:r>
    </w:p>
    <w:p w:rsidR="000602F6" w:rsidRPr="008A37DC" w:rsidRDefault="000602F6" w:rsidP="00D924CC">
      <w:pPr>
        <w:pStyle w:val="Header"/>
        <w:jc w:val="both"/>
        <w:rPr>
          <w:rFonts w:cs="Arial"/>
          <w:szCs w:val="24"/>
          <w:u w:val="single"/>
        </w:rPr>
      </w:pPr>
    </w:p>
    <w:p w:rsidR="00F91B6F" w:rsidRPr="008A37DC" w:rsidRDefault="00F91B6F" w:rsidP="00F91B6F">
      <w:pPr>
        <w:jc w:val="both"/>
        <w:rPr>
          <w:rFonts w:cs="Arial"/>
        </w:rPr>
      </w:pPr>
      <w:r w:rsidRPr="008A37DC">
        <w:rPr>
          <w:rFonts w:cs="Arial"/>
        </w:rPr>
        <w:t>The DSG allocation notified is prior to in year adjustments for:</w:t>
      </w:r>
    </w:p>
    <w:p w:rsidR="00F91B6F" w:rsidRPr="008A37DC" w:rsidRDefault="00F91B6F" w:rsidP="00F91B6F">
      <w:pPr>
        <w:pStyle w:val="ListParagraph"/>
        <w:numPr>
          <w:ilvl w:val="0"/>
          <w:numId w:val="26"/>
        </w:numPr>
        <w:jc w:val="both"/>
        <w:rPr>
          <w:rFonts w:cs="Arial"/>
        </w:rPr>
      </w:pPr>
      <w:r w:rsidRPr="008A37DC">
        <w:rPr>
          <w:rFonts w:cs="Arial"/>
        </w:rPr>
        <w:t>Academies recoupment from the schools block;</w:t>
      </w:r>
    </w:p>
    <w:p w:rsidR="00F91B6F" w:rsidRPr="008A37DC" w:rsidRDefault="00F91B6F" w:rsidP="00F91B6F">
      <w:pPr>
        <w:pStyle w:val="ListParagraph"/>
        <w:numPr>
          <w:ilvl w:val="0"/>
          <w:numId w:val="26"/>
        </w:numPr>
        <w:jc w:val="both"/>
        <w:rPr>
          <w:rFonts w:cs="Arial"/>
        </w:rPr>
      </w:pPr>
      <w:r w:rsidRPr="008A37DC">
        <w:rPr>
          <w:rFonts w:cs="Arial"/>
        </w:rPr>
        <w:t>Deductions for high needs places in academies and non-maintained special schools;</w:t>
      </w:r>
    </w:p>
    <w:p w:rsidR="00F91B6F" w:rsidRPr="008A37DC" w:rsidRDefault="00F91B6F" w:rsidP="00F91B6F">
      <w:pPr>
        <w:pStyle w:val="ListParagraph"/>
        <w:numPr>
          <w:ilvl w:val="0"/>
          <w:numId w:val="26"/>
        </w:numPr>
        <w:jc w:val="both"/>
        <w:rPr>
          <w:rFonts w:cs="Arial"/>
        </w:rPr>
      </w:pPr>
      <w:r w:rsidRPr="008A37DC">
        <w:rPr>
          <w:rFonts w:cs="Arial"/>
        </w:rPr>
        <w:t>Post 16 places;</w:t>
      </w:r>
    </w:p>
    <w:p w:rsidR="00F91B6F" w:rsidRPr="008A37DC" w:rsidRDefault="00F91B6F" w:rsidP="00F91B6F">
      <w:pPr>
        <w:pStyle w:val="ListParagraph"/>
        <w:numPr>
          <w:ilvl w:val="0"/>
          <w:numId w:val="26"/>
        </w:numPr>
        <w:jc w:val="both"/>
        <w:rPr>
          <w:rFonts w:cs="Arial"/>
        </w:rPr>
      </w:pPr>
      <w:r w:rsidRPr="008A37DC">
        <w:rPr>
          <w:rFonts w:cs="Arial"/>
        </w:rPr>
        <w:t>Deduction for national copyright licences;</w:t>
      </w:r>
    </w:p>
    <w:p w:rsidR="00F91B6F" w:rsidRPr="008A37DC" w:rsidRDefault="00F91B6F" w:rsidP="00F91B6F">
      <w:pPr>
        <w:pStyle w:val="ListParagraph"/>
        <w:numPr>
          <w:ilvl w:val="0"/>
          <w:numId w:val="26"/>
        </w:numPr>
        <w:jc w:val="both"/>
        <w:rPr>
          <w:rFonts w:cs="Arial"/>
        </w:rPr>
      </w:pPr>
      <w:r w:rsidRPr="008A37DC">
        <w:rPr>
          <w:rFonts w:cs="Arial"/>
        </w:rPr>
        <w:t>Updates to the funding for three and four year olds;</w:t>
      </w:r>
    </w:p>
    <w:p w:rsidR="00F91B6F" w:rsidRPr="008A37DC" w:rsidRDefault="00F91B6F" w:rsidP="00F91B6F">
      <w:pPr>
        <w:pStyle w:val="ListParagraph"/>
        <w:numPr>
          <w:ilvl w:val="0"/>
          <w:numId w:val="26"/>
        </w:numPr>
        <w:jc w:val="both"/>
        <w:rPr>
          <w:rFonts w:cs="Arial"/>
        </w:rPr>
      </w:pPr>
      <w:r w:rsidRPr="008A37DC">
        <w:rPr>
          <w:rFonts w:cs="Arial"/>
        </w:rPr>
        <w:t xml:space="preserve">Updates to the funding </w:t>
      </w:r>
      <w:r w:rsidR="0026699B" w:rsidRPr="008A37DC">
        <w:rPr>
          <w:rFonts w:cs="Arial"/>
        </w:rPr>
        <w:t xml:space="preserve">two year olds; </w:t>
      </w:r>
    </w:p>
    <w:p w:rsidR="0026699B" w:rsidRPr="008A37DC" w:rsidRDefault="0026699B" w:rsidP="0026699B">
      <w:pPr>
        <w:pStyle w:val="ListParagraph"/>
        <w:numPr>
          <w:ilvl w:val="0"/>
          <w:numId w:val="26"/>
        </w:numPr>
        <w:jc w:val="both"/>
        <w:rPr>
          <w:rFonts w:cs="Arial"/>
        </w:rPr>
      </w:pPr>
      <w:r w:rsidRPr="008A37DC">
        <w:rPr>
          <w:rFonts w:cs="Arial"/>
        </w:rPr>
        <w:t>Updates to the early years supplementary funding for maintained nursery school</w:t>
      </w:r>
    </w:p>
    <w:p w:rsidR="00F91B6F" w:rsidRPr="008A37DC" w:rsidRDefault="00F91B6F" w:rsidP="00F91B6F">
      <w:pPr>
        <w:pStyle w:val="ListParagraph"/>
        <w:numPr>
          <w:ilvl w:val="0"/>
          <w:numId w:val="26"/>
        </w:numPr>
        <w:jc w:val="both"/>
        <w:rPr>
          <w:rFonts w:cs="Arial"/>
        </w:rPr>
      </w:pPr>
      <w:r w:rsidRPr="008A37DC">
        <w:rPr>
          <w:rFonts w:cs="Arial"/>
        </w:rPr>
        <w:t xml:space="preserve">Updates to the early years pupil premium; </w:t>
      </w:r>
    </w:p>
    <w:p w:rsidR="00F91B6F" w:rsidRPr="008A37DC" w:rsidRDefault="00F91B6F" w:rsidP="00F91B6F">
      <w:pPr>
        <w:pStyle w:val="ListParagraph"/>
        <w:numPr>
          <w:ilvl w:val="0"/>
          <w:numId w:val="26"/>
        </w:numPr>
        <w:jc w:val="both"/>
        <w:rPr>
          <w:rFonts w:cs="Arial"/>
        </w:rPr>
      </w:pPr>
      <w:r w:rsidRPr="008A37DC">
        <w:rPr>
          <w:rFonts w:cs="Arial"/>
        </w:rPr>
        <w:t>Updates to early years Disability Access Fund</w:t>
      </w:r>
      <w:r w:rsidR="0026699B" w:rsidRPr="008A37DC">
        <w:rPr>
          <w:rFonts w:cs="Arial"/>
        </w:rPr>
        <w:t>:</w:t>
      </w:r>
    </w:p>
    <w:p w:rsidR="00F91B6F" w:rsidRPr="0081229E" w:rsidRDefault="00F91B6F" w:rsidP="00D924CC">
      <w:pPr>
        <w:pStyle w:val="Header"/>
        <w:jc w:val="both"/>
        <w:rPr>
          <w:rFonts w:cs="Arial"/>
          <w:b/>
          <w:szCs w:val="24"/>
          <w:u w:val="single"/>
        </w:rPr>
      </w:pPr>
    </w:p>
    <w:p w:rsidR="000602F6" w:rsidRDefault="000602F6">
      <w:pPr>
        <w:spacing w:after="200" w:line="276" w:lineRule="auto"/>
        <w:rPr>
          <w:rFonts w:cs="Arial"/>
          <w:b/>
          <w:u w:val="single"/>
        </w:rPr>
      </w:pPr>
      <w:r>
        <w:rPr>
          <w:rFonts w:cs="Arial"/>
          <w:b/>
          <w:u w:val="single"/>
        </w:rPr>
        <w:br w:type="page"/>
      </w:r>
    </w:p>
    <w:p w:rsidR="00F91B6F" w:rsidRPr="0081229E" w:rsidRDefault="00F91B6F" w:rsidP="00D924CC">
      <w:pPr>
        <w:pStyle w:val="Header"/>
        <w:jc w:val="both"/>
        <w:rPr>
          <w:rFonts w:cs="Arial"/>
          <w:b/>
          <w:szCs w:val="24"/>
          <w:u w:val="single"/>
        </w:rPr>
      </w:pPr>
    </w:p>
    <w:p w:rsidR="00EC03A9" w:rsidRPr="0081229E" w:rsidRDefault="008A37DC" w:rsidP="00D924CC">
      <w:pPr>
        <w:pStyle w:val="Header"/>
        <w:jc w:val="both"/>
        <w:rPr>
          <w:rFonts w:cs="Arial"/>
          <w:b/>
          <w:szCs w:val="24"/>
          <w:u w:val="single"/>
        </w:rPr>
      </w:pPr>
      <w:r w:rsidRPr="0081229E">
        <w:rPr>
          <w:rFonts w:cs="Arial"/>
          <w:b/>
          <w:szCs w:val="24"/>
          <w:u w:val="single"/>
        </w:rPr>
        <w:t xml:space="preserve">Schools </w:t>
      </w:r>
      <w:r w:rsidR="00804360" w:rsidRPr="0081229E">
        <w:rPr>
          <w:rFonts w:cs="Arial"/>
          <w:b/>
          <w:szCs w:val="24"/>
          <w:u w:val="single"/>
        </w:rPr>
        <w:t>Budget</w:t>
      </w:r>
      <w:r w:rsidR="00EC03A9" w:rsidRPr="0081229E">
        <w:rPr>
          <w:rFonts w:cs="Arial"/>
          <w:b/>
          <w:szCs w:val="24"/>
          <w:u w:val="single"/>
        </w:rPr>
        <w:t xml:space="preserve"> </w:t>
      </w:r>
      <w:r w:rsidRPr="0081229E">
        <w:rPr>
          <w:rFonts w:cs="Arial"/>
          <w:b/>
          <w:szCs w:val="24"/>
          <w:u w:val="single"/>
        </w:rPr>
        <w:t>2017/18</w:t>
      </w:r>
    </w:p>
    <w:p w:rsidR="00F8194B" w:rsidRPr="0081229E" w:rsidRDefault="00EC03A9" w:rsidP="00D924CC">
      <w:pPr>
        <w:pStyle w:val="Header"/>
        <w:jc w:val="both"/>
        <w:rPr>
          <w:rFonts w:cs="Arial"/>
          <w:szCs w:val="24"/>
        </w:rPr>
      </w:pPr>
      <w:r w:rsidRPr="0081229E">
        <w:rPr>
          <w:rFonts w:cs="Arial"/>
          <w:szCs w:val="24"/>
        </w:rPr>
        <w:t xml:space="preserve">The latest Individual School Budgets (ISB) across all phases has been constructed using the final datasets made available from the </w:t>
      </w:r>
      <w:r w:rsidR="00D7488F" w:rsidRPr="0081229E">
        <w:rPr>
          <w:rFonts w:cs="Arial"/>
          <w:szCs w:val="24"/>
        </w:rPr>
        <w:t>EFA</w:t>
      </w:r>
      <w:r w:rsidRPr="0081229E">
        <w:rPr>
          <w:rFonts w:cs="Arial"/>
          <w:szCs w:val="24"/>
        </w:rPr>
        <w:t xml:space="preserve"> and our latest </w:t>
      </w:r>
      <w:r w:rsidR="00D7488F" w:rsidRPr="0081229E">
        <w:rPr>
          <w:rFonts w:cs="Arial"/>
          <w:szCs w:val="24"/>
        </w:rPr>
        <w:t xml:space="preserve">local </w:t>
      </w:r>
      <w:r w:rsidRPr="0081229E">
        <w:rPr>
          <w:rFonts w:cs="Arial"/>
          <w:szCs w:val="24"/>
        </w:rPr>
        <w:t xml:space="preserve">Early Years </w:t>
      </w:r>
      <w:r w:rsidR="00D7488F" w:rsidRPr="0081229E">
        <w:rPr>
          <w:rFonts w:cs="Arial"/>
          <w:szCs w:val="24"/>
        </w:rPr>
        <w:t xml:space="preserve">and High Needs </w:t>
      </w:r>
      <w:r w:rsidRPr="0081229E">
        <w:rPr>
          <w:rFonts w:cs="Arial"/>
          <w:szCs w:val="24"/>
        </w:rPr>
        <w:t xml:space="preserve">data. </w:t>
      </w:r>
    </w:p>
    <w:p w:rsidR="00EC03A9" w:rsidRPr="0081229E" w:rsidRDefault="00EC03A9" w:rsidP="00D924CC">
      <w:pPr>
        <w:pStyle w:val="Header"/>
        <w:jc w:val="both"/>
        <w:rPr>
          <w:rFonts w:cs="Arial"/>
          <w:szCs w:val="24"/>
        </w:rPr>
      </w:pPr>
    </w:p>
    <w:p w:rsidR="00F11122" w:rsidRPr="0081229E" w:rsidRDefault="00F95898" w:rsidP="00D924CC">
      <w:pPr>
        <w:pStyle w:val="Header"/>
        <w:jc w:val="both"/>
        <w:rPr>
          <w:rFonts w:cs="Arial"/>
          <w:szCs w:val="24"/>
        </w:rPr>
      </w:pPr>
      <w:r w:rsidRPr="0081229E">
        <w:rPr>
          <w:rFonts w:cs="Arial"/>
          <w:szCs w:val="24"/>
        </w:rPr>
        <w:t xml:space="preserve">This </w:t>
      </w:r>
      <w:r w:rsidR="00EA11F4" w:rsidRPr="0081229E">
        <w:rPr>
          <w:rFonts w:cs="Arial"/>
          <w:szCs w:val="24"/>
        </w:rPr>
        <w:t>S</w:t>
      </w:r>
      <w:r w:rsidRPr="0081229E">
        <w:rPr>
          <w:rFonts w:cs="Arial"/>
          <w:szCs w:val="24"/>
        </w:rPr>
        <w:t xml:space="preserve">chools </w:t>
      </w:r>
      <w:r w:rsidR="00EA11F4" w:rsidRPr="0081229E">
        <w:rPr>
          <w:rFonts w:cs="Arial"/>
          <w:szCs w:val="24"/>
        </w:rPr>
        <w:t>B</w:t>
      </w:r>
      <w:r w:rsidRPr="0081229E">
        <w:rPr>
          <w:rFonts w:cs="Arial"/>
          <w:szCs w:val="24"/>
        </w:rPr>
        <w:t xml:space="preserve">lock budget estimate has been calculated using the </w:t>
      </w:r>
      <w:r w:rsidR="00EA11F4" w:rsidRPr="0081229E">
        <w:rPr>
          <w:rFonts w:cs="Arial"/>
          <w:szCs w:val="24"/>
        </w:rPr>
        <w:t>School F</w:t>
      </w:r>
      <w:r w:rsidRPr="0081229E">
        <w:rPr>
          <w:rFonts w:cs="Arial"/>
          <w:szCs w:val="24"/>
        </w:rPr>
        <w:t>orum principle of stability in cash values attributed to each formula factor (excluding AWPU)</w:t>
      </w:r>
      <w:r w:rsidR="00F11122" w:rsidRPr="0081229E">
        <w:rPr>
          <w:rFonts w:cs="Arial"/>
          <w:szCs w:val="24"/>
        </w:rPr>
        <w:t xml:space="preserve">.  </w:t>
      </w:r>
    </w:p>
    <w:p w:rsidR="00F11122" w:rsidRPr="0081229E" w:rsidRDefault="00F11122" w:rsidP="00D924CC">
      <w:pPr>
        <w:pStyle w:val="Header"/>
        <w:jc w:val="both"/>
        <w:rPr>
          <w:rFonts w:cs="Arial"/>
          <w:b/>
          <w:szCs w:val="24"/>
        </w:rPr>
      </w:pPr>
    </w:p>
    <w:p w:rsidR="00045E79" w:rsidRPr="0081229E" w:rsidRDefault="00045E79" w:rsidP="00D924CC">
      <w:pPr>
        <w:pStyle w:val="Header"/>
        <w:jc w:val="both"/>
        <w:rPr>
          <w:rFonts w:cs="Arial"/>
          <w:b/>
          <w:szCs w:val="24"/>
        </w:rPr>
      </w:pPr>
    </w:p>
    <w:p w:rsidR="00EC03A9" w:rsidRPr="0081229E" w:rsidRDefault="00EC03A9" w:rsidP="00D924CC">
      <w:pPr>
        <w:pStyle w:val="Header"/>
        <w:jc w:val="both"/>
        <w:rPr>
          <w:rFonts w:cs="Arial"/>
          <w:b/>
          <w:szCs w:val="24"/>
        </w:rPr>
      </w:pPr>
      <w:r w:rsidRPr="0081229E">
        <w:rPr>
          <w:rFonts w:cs="Arial"/>
          <w:b/>
          <w:szCs w:val="24"/>
        </w:rPr>
        <w:t xml:space="preserve">Budget Summary – </w:t>
      </w:r>
      <w:r w:rsidR="00F11122" w:rsidRPr="0081229E">
        <w:rPr>
          <w:rFonts w:cs="Arial"/>
          <w:b/>
          <w:szCs w:val="24"/>
        </w:rPr>
        <w:t>B</w:t>
      </w:r>
      <w:r w:rsidRPr="0081229E">
        <w:rPr>
          <w:rFonts w:cs="Arial"/>
          <w:b/>
          <w:szCs w:val="24"/>
        </w:rPr>
        <w:t>efore headroom</w:t>
      </w:r>
      <w:r w:rsidR="00804360" w:rsidRPr="0081229E">
        <w:rPr>
          <w:rFonts w:cs="Arial"/>
          <w:b/>
          <w:szCs w:val="24"/>
        </w:rPr>
        <w:t xml:space="preserve"> / shortfall in funding</w:t>
      </w:r>
    </w:p>
    <w:p w:rsidR="00EC03A9" w:rsidRPr="0081229E" w:rsidRDefault="00EC03A9" w:rsidP="00D924CC">
      <w:pPr>
        <w:pStyle w:val="Header"/>
        <w:jc w:val="both"/>
        <w:rPr>
          <w:rFonts w:cs="Arial"/>
          <w:szCs w:val="24"/>
        </w:rPr>
      </w:pPr>
      <w:r w:rsidRPr="0081229E">
        <w:rPr>
          <w:rFonts w:cs="Arial"/>
          <w:szCs w:val="24"/>
        </w:rPr>
        <w:t xml:space="preserve">The table below summarises the </w:t>
      </w:r>
      <w:r w:rsidR="0043648D" w:rsidRPr="0081229E">
        <w:rPr>
          <w:rFonts w:cs="Arial"/>
          <w:szCs w:val="24"/>
        </w:rPr>
        <w:t xml:space="preserve">budgets </w:t>
      </w:r>
      <w:r w:rsidRPr="0081229E">
        <w:rPr>
          <w:rFonts w:cs="Arial"/>
          <w:szCs w:val="24"/>
        </w:rPr>
        <w:t xml:space="preserve">for primary, secondary, academy and early years together with a global high needs budget using the principles agreed by the Forum. </w:t>
      </w:r>
    </w:p>
    <w:p w:rsidR="00EC03A9" w:rsidRPr="0081229E" w:rsidRDefault="00EC03A9" w:rsidP="00D924CC">
      <w:pPr>
        <w:pStyle w:val="Header"/>
        <w:jc w:val="both"/>
        <w:rPr>
          <w:rFonts w:cs="Arial"/>
          <w:szCs w:val="24"/>
        </w:rPr>
      </w:pPr>
    </w:p>
    <w:p w:rsidR="00B14F29" w:rsidRPr="0081229E" w:rsidRDefault="00F11122" w:rsidP="00D924CC">
      <w:pPr>
        <w:pStyle w:val="Header"/>
        <w:jc w:val="both"/>
        <w:rPr>
          <w:rFonts w:cs="Arial"/>
          <w:b/>
          <w:szCs w:val="24"/>
          <w:u w:val="single"/>
        </w:rPr>
      </w:pPr>
      <w:r w:rsidRPr="0081229E">
        <w:rPr>
          <w:rFonts w:cs="Arial"/>
          <w:b/>
          <w:szCs w:val="24"/>
          <w:u w:val="single"/>
        </w:rPr>
        <w:t>DSG a</w:t>
      </w:r>
      <w:r w:rsidR="00362E03" w:rsidRPr="0081229E">
        <w:rPr>
          <w:rFonts w:cs="Arial"/>
          <w:b/>
          <w:szCs w:val="24"/>
          <w:u w:val="single"/>
        </w:rPr>
        <w:t>llocated to</w:t>
      </w:r>
      <w:r w:rsidRPr="0081229E">
        <w:rPr>
          <w:rFonts w:cs="Arial"/>
          <w:b/>
          <w:szCs w:val="24"/>
          <w:u w:val="single"/>
        </w:rPr>
        <w:t xml:space="preserve"> </w:t>
      </w:r>
    </w:p>
    <w:p w:rsidR="000D0032" w:rsidRPr="0081229E" w:rsidRDefault="000D0032" w:rsidP="00D924CC">
      <w:pPr>
        <w:pStyle w:val="Header"/>
        <w:jc w:val="both"/>
        <w:rPr>
          <w:rFonts w:cs="Arial"/>
          <w:b/>
          <w:szCs w:val="24"/>
          <w:highlight w:val="yellow"/>
          <w:u w:val="single"/>
        </w:rPr>
      </w:pPr>
    </w:p>
    <w:tbl>
      <w:tblPr>
        <w:tblStyle w:val="TableGrid"/>
        <w:tblW w:w="0" w:type="auto"/>
        <w:tblLook w:val="04A0" w:firstRow="1" w:lastRow="0" w:firstColumn="1" w:lastColumn="0" w:noHBand="0" w:noVBand="1"/>
      </w:tblPr>
      <w:tblGrid>
        <w:gridCol w:w="7956"/>
        <w:gridCol w:w="1060"/>
      </w:tblGrid>
      <w:tr w:rsidR="0081229E" w:rsidRPr="0081229E" w:rsidTr="00873A1A">
        <w:trPr>
          <w:trHeight w:val="285"/>
        </w:trPr>
        <w:tc>
          <w:tcPr>
            <w:tcW w:w="7956" w:type="dxa"/>
            <w:noWrap/>
            <w:hideMark/>
          </w:tcPr>
          <w:p w:rsidR="004B7E1B" w:rsidRPr="0081229E" w:rsidRDefault="004B7E1B" w:rsidP="004B7E1B">
            <w:pPr>
              <w:pStyle w:val="Header"/>
              <w:jc w:val="both"/>
              <w:rPr>
                <w:rFonts w:ascii="Arial" w:hAnsi="Arial" w:cs="Arial"/>
                <w:sz w:val="24"/>
                <w:szCs w:val="24"/>
              </w:rPr>
            </w:pPr>
          </w:p>
        </w:tc>
        <w:tc>
          <w:tcPr>
            <w:tcW w:w="1060" w:type="dxa"/>
            <w:noWrap/>
            <w:hideMark/>
          </w:tcPr>
          <w:p w:rsidR="004B7E1B" w:rsidRPr="0081229E" w:rsidRDefault="004B7E1B" w:rsidP="000D0032">
            <w:pPr>
              <w:pStyle w:val="Header"/>
              <w:jc w:val="center"/>
              <w:rPr>
                <w:rFonts w:ascii="Arial" w:hAnsi="Arial" w:cs="Arial"/>
                <w:sz w:val="24"/>
                <w:szCs w:val="24"/>
              </w:rPr>
            </w:pPr>
            <w:r w:rsidRPr="0081229E">
              <w:rPr>
                <w:rFonts w:ascii="Arial" w:hAnsi="Arial" w:cs="Arial"/>
                <w:sz w:val="24"/>
                <w:szCs w:val="24"/>
              </w:rPr>
              <w:t>£m's</w:t>
            </w:r>
          </w:p>
        </w:tc>
      </w:tr>
      <w:tr w:rsidR="0081229E" w:rsidRPr="0081229E" w:rsidTr="0081229E">
        <w:trPr>
          <w:trHeight w:val="285"/>
        </w:trPr>
        <w:tc>
          <w:tcPr>
            <w:tcW w:w="7956" w:type="dxa"/>
            <w:noWrap/>
            <w:hideMark/>
          </w:tcPr>
          <w:p w:rsidR="00873A1A" w:rsidRPr="0081229E" w:rsidRDefault="00873A1A" w:rsidP="00873A1A">
            <w:pPr>
              <w:pStyle w:val="Header"/>
              <w:jc w:val="both"/>
              <w:rPr>
                <w:rFonts w:ascii="Arial" w:hAnsi="Arial" w:cs="Arial"/>
                <w:sz w:val="24"/>
                <w:szCs w:val="24"/>
              </w:rPr>
            </w:pPr>
            <w:r w:rsidRPr="0081229E">
              <w:rPr>
                <w:rFonts w:ascii="Arial" w:hAnsi="Arial" w:cs="Arial"/>
                <w:sz w:val="24"/>
                <w:szCs w:val="24"/>
              </w:rPr>
              <w:t>Schools Block Mainstream Non High Needs Block</w:t>
            </w:r>
          </w:p>
        </w:tc>
        <w:tc>
          <w:tcPr>
            <w:tcW w:w="1060" w:type="dxa"/>
            <w:shd w:val="clear" w:color="auto" w:fill="auto"/>
            <w:noWrap/>
            <w:vAlign w:val="bottom"/>
            <w:hideMark/>
          </w:tcPr>
          <w:p w:rsidR="00873A1A" w:rsidRPr="0081229E" w:rsidRDefault="00873A1A" w:rsidP="00873A1A">
            <w:pPr>
              <w:pStyle w:val="Header"/>
              <w:jc w:val="right"/>
              <w:rPr>
                <w:rFonts w:ascii="Arial" w:hAnsi="Arial" w:cs="Arial"/>
                <w:sz w:val="24"/>
                <w:szCs w:val="24"/>
              </w:rPr>
            </w:pPr>
            <w:r w:rsidRPr="0081229E">
              <w:rPr>
                <w:rFonts w:ascii="Arial" w:hAnsi="Arial" w:cs="Arial"/>
                <w:sz w:val="24"/>
                <w:szCs w:val="24"/>
              </w:rPr>
              <w:t>710.59</w:t>
            </w:r>
          </w:p>
        </w:tc>
      </w:tr>
      <w:tr w:rsidR="0081229E" w:rsidRPr="0081229E" w:rsidTr="0081229E">
        <w:trPr>
          <w:trHeight w:val="285"/>
        </w:trPr>
        <w:tc>
          <w:tcPr>
            <w:tcW w:w="7956" w:type="dxa"/>
            <w:noWrap/>
            <w:hideMark/>
          </w:tcPr>
          <w:p w:rsidR="00873A1A" w:rsidRPr="0081229E" w:rsidRDefault="00873A1A" w:rsidP="00873A1A">
            <w:pPr>
              <w:pStyle w:val="Header"/>
              <w:jc w:val="both"/>
              <w:rPr>
                <w:rFonts w:ascii="Arial" w:hAnsi="Arial" w:cs="Arial"/>
                <w:sz w:val="24"/>
                <w:szCs w:val="24"/>
              </w:rPr>
            </w:pPr>
            <w:r w:rsidRPr="0081229E">
              <w:rPr>
                <w:rFonts w:ascii="Arial" w:hAnsi="Arial" w:cs="Arial"/>
                <w:sz w:val="24"/>
                <w:szCs w:val="24"/>
              </w:rPr>
              <w:t>Early Years Block 3/4 year olds</w:t>
            </w:r>
          </w:p>
        </w:tc>
        <w:tc>
          <w:tcPr>
            <w:tcW w:w="1060" w:type="dxa"/>
            <w:shd w:val="clear" w:color="auto" w:fill="auto"/>
            <w:noWrap/>
            <w:vAlign w:val="bottom"/>
            <w:hideMark/>
          </w:tcPr>
          <w:p w:rsidR="00873A1A" w:rsidRPr="0081229E" w:rsidRDefault="00873A1A" w:rsidP="00873A1A">
            <w:pPr>
              <w:pStyle w:val="Header"/>
              <w:jc w:val="right"/>
              <w:rPr>
                <w:rFonts w:ascii="Arial" w:hAnsi="Arial" w:cs="Arial"/>
                <w:sz w:val="24"/>
                <w:szCs w:val="24"/>
              </w:rPr>
            </w:pPr>
            <w:r w:rsidRPr="0081229E">
              <w:rPr>
                <w:rFonts w:ascii="Arial" w:hAnsi="Arial" w:cs="Arial"/>
                <w:sz w:val="24"/>
                <w:szCs w:val="24"/>
              </w:rPr>
              <w:t>57.08</w:t>
            </w:r>
          </w:p>
        </w:tc>
      </w:tr>
      <w:tr w:rsidR="0081229E" w:rsidRPr="0081229E" w:rsidTr="0081229E">
        <w:trPr>
          <w:trHeight w:val="285"/>
        </w:trPr>
        <w:tc>
          <w:tcPr>
            <w:tcW w:w="7956" w:type="dxa"/>
            <w:noWrap/>
            <w:hideMark/>
          </w:tcPr>
          <w:p w:rsidR="00873A1A" w:rsidRPr="0081229E" w:rsidRDefault="00873A1A" w:rsidP="00873A1A">
            <w:pPr>
              <w:pStyle w:val="Header"/>
              <w:jc w:val="both"/>
              <w:rPr>
                <w:rFonts w:ascii="Arial" w:hAnsi="Arial" w:cs="Arial"/>
                <w:sz w:val="24"/>
                <w:szCs w:val="24"/>
              </w:rPr>
            </w:pPr>
            <w:r w:rsidRPr="0081229E">
              <w:rPr>
                <w:rFonts w:ascii="Arial" w:hAnsi="Arial" w:cs="Arial"/>
                <w:sz w:val="24"/>
                <w:szCs w:val="24"/>
              </w:rPr>
              <w:t>Early Years Block 2 year olds</w:t>
            </w:r>
          </w:p>
        </w:tc>
        <w:tc>
          <w:tcPr>
            <w:tcW w:w="1060" w:type="dxa"/>
            <w:shd w:val="clear" w:color="auto" w:fill="auto"/>
            <w:noWrap/>
            <w:vAlign w:val="bottom"/>
            <w:hideMark/>
          </w:tcPr>
          <w:p w:rsidR="00873A1A" w:rsidRPr="0081229E" w:rsidRDefault="00873A1A" w:rsidP="00873A1A">
            <w:pPr>
              <w:pStyle w:val="Header"/>
              <w:jc w:val="right"/>
              <w:rPr>
                <w:rFonts w:ascii="Arial" w:hAnsi="Arial" w:cs="Arial"/>
                <w:sz w:val="24"/>
                <w:szCs w:val="24"/>
              </w:rPr>
            </w:pPr>
            <w:r w:rsidRPr="0081229E">
              <w:rPr>
                <w:rFonts w:ascii="Arial" w:hAnsi="Arial" w:cs="Arial"/>
                <w:sz w:val="24"/>
                <w:szCs w:val="24"/>
              </w:rPr>
              <w:t>11.04</w:t>
            </w:r>
          </w:p>
        </w:tc>
      </w:tr>
      <w:tr w:rsidR="0081229E" w:rsidRPr="0081229E" w:rsidTr="0081229E">
        <w:trPr>
          <w:trHeight w:val="285"/>
        </w:trPr>
        <w:tc>
          <w:tcPr>
            <w:tcW w:w="7956" w:type="dxa"/>
            <w:noWrap/>
            <w:hideMark/>
          </w:tcPr>
          <w:p w:rsidR="00873A1A" w:rsidRPr="0081229E" w:rsidRDefault="00873A1A" w:rsidP="00873A1A">
            <w:pPr>
              <w:pStyle w:val="Header"/>
              <w:jc w:val="both"/>
              <w:rPr>
                <w:rFonts w:ascii="Arial" w:hAnsi="Arial" w:cs="Arial"/>
                <w:sz w:val="24"/>
                <w:szCs w:val="24"/>
              </w:rPr>
            </w:pPr>
            <w:r w:rsidRPr="0081229E">
              <w:rPr>
                <w:rFonts w:ascii="Arial" w:hAnsi="Arial" w:cs="Arial"/>
                <w:sz w:val="24"/>
                <w:szCs w:val="24"/>
              </w:rPr>
              <w:t>High Needs Block (HNB)</w:t>
            </w:r>
          </w:p>
        </w:tc>
        <w:tc>
          <w:tcPr>
            <w:tcW w:w="1060" w:type="dxa"/>
            <w:shd w:val="clear" w:color="auto" w:fill="auto"/>
            <w:noWrap/>
            <w:vAlign w:val="bottom"/>
            <w:hideMark/>
          </w:tcPr>
          <w:p w:rsidR="00873A1A" w:rsidRPr="0081229E" w:rsidRDefault="00873A1A" w:rsidP="00873A1A">
            <w:pPr>
              <w:pStyle w:val="Header"/>
              <w:jc w:val="right"/>
              <w:rPr>
                <w:rFonts w:ascii="Arial" w:hAnsi="Arial" w:cs="Arial"/>
                <w:sz w:val="24"/>
                <w:szCs w:val="24"/>
              </w:rPr>
            </w:pPr>
          </w:p>
        </w:tc>
      </w:tr>
      <w:tr w:rsidR="0081229E" w:rsidRPr="0081229E" w:rsidTr="0081229E">
        <w:trPr>
          <w:trHeight w:val="285"/>
        </w:trPr>
        <w:tc>
          <w:tcPr>
            <w:tcW w:w="7956" w:type="dxa"/>
            <w:noWrap/>
            <w:hideMark/>
          </w:tcPr>
          <w:p w:rsidR="00873A1A" w:rsidRPr="0081229E" w:rsidRDefault="00873A1A" w:rsidP="00873A1A">
            <w:pPr>
              <w:pStyle w:val="Header"/>
              <w:ind w:left="720"/>
              <w:jc w:val="both"/>
              <w:rPr>
                <w:rFonts w:ascii="Arial" w:hAnsi="Arial" w:cs="Arial"/>
                <w:sz w:val="24"/>
                <w:szCs w:val="24"/>
              </w:rPr>
            </w:pPr>
            <w:r w:rsidRPr="0081229E">
              <w:rPr>
                <w:rFonts w:ascii="Arial" w:hAnsi="Arial" w:cs="Arial"/>
                <w:sz w:val="24"/>
                <w:szCs w:val="24"/>
              </w:rPr>
              <w:t>HNB Mainstream</w:t>
            </w:r>
          </w:p>
        </w:tc>
        <w:tc>
          <w:tcPr>
            <w:tcW w:w="1060" w:type="dxa"/>
            <w:shd w:val="clear" w:color="auto" w:fill="auto"/>
            <w:noWrap/>
            <w:vAlign w:val="bottom"/>
            <w:hideMark/>
          </w:tcPr>
          <w:p w:rsidR="00873A1A" w:rsidRPr="0081229E" w:rsidRDefault="00873A1A" w:rsidP="00873A1A">
            <w:pPr>
              <w:pStyle w:val="Header"/>
              <w:jc w:val="right"/>
              <w:rPr>
                <w:rFonts w:ascii="Arial" w:hAnsi="Arial" w:cs="Arial"/>
                <w:sz w:val="24"/>
                <w:szCs w:val="24"/>
              </w:rPr>
            </w:pPr>
            <w:r w:rsidRPr="0081229E">
              <w:rPr>
                <w:rFonts w:ascii="Arial" w:hAnsi="Arial" w:cs="Arial"/>
                <w:sz w:val="24"/>
                <w:szCs w:val="24"/>
              </w:rPr>
              <w:t>6.17</w:t>
            </w:r>
          </w:p>
        </w:tc>
      </w:tr>
      <w:tr w:rsidR="0081229E" w:rsidRPr="0081229E" w:rsidTr="0081229E">
        <w:trPr>
          <w:trHeight w:val="285"/>
        </w:trPr>
        <w:tc>
          <w:tcPr>
            <w:tcW w:w="7956" w:type="dxa"/>
            <w:noWrap/>
            <w:hideMark/>
          </w:tcPr>
          <w:p w:rsidR="00873A1A" w:rsidRPr="0081229E" w:rsidRDefault="00873A1A" w:rsidP="00873A1A">
            <w:pPr>
              <w:pStyle w:val="Header"/>
              <w:ind w:left="720"/>
              <w:jc w:val="both"/>
              <w:rPr>
                <w:rFonts w:ascii="Arial" w:hAnsi="Arial" w:cs="Arial"/>
                <w:sz w:val="24"/>
                <w:szCs w:val="24"/>
              </w:rPr>
            </w:pPr>
            <w:r w:rsidRPr="0081229E">
              <w:rPr>
                <w:rFonts w:ascii="Arial" w:hAnsi="Arial" w:cs="Arial"/>
                <w:sz w:val="24"/>
                <w:szCs w:val="24"/>
              </w:rPr>
              <w:t>HNB Special Schools</w:t>
            </w:r>
          </w:p>
        </w:tc>
        <w:tc>
          <w:tcPr>
            <w:tcW w:w="1060" w:type="dxa"/>
            <w:shd w:val="clear" w:color="auto" w:fill="auto"/>
            <w:noWrap/>
            <w:vAlign w:val="bottom"/>
            <w:hideMark/>
          </w:tcPr>
          <w:p w:rsidR="00873A1A" w:rsidRPr="0081229E" w:rsidRDefault="00873A1A" w:rsidP="00873A1A">
            <w:pPr>
              <w:pStyle w:val="Header"/>
              <w:jc w:val="right"/>
              <w:rPr>
                <w:rFonts w:ascii="Arial" w:hAnsi="Arial" w:cs="Arial"/>
                <w:sz w:val="24"/>
                <w:szCs w:val="24"/>
              </w:rPr>
            </w:pPr>
            <w:r w:rsidRPr="0081229E">
              <w:rPr>
                <w:rFonts w:ascii="Arial" w:hAnsi="Arial" w:cs="Arial"/>
                <w:sz w:val="24"/>
                <w:szCs w:val="24"/>
              </w:rPr>
              <w:t>52.22</w:t>
            </w:r>
          </w:p>
        </w:tc>
      </w:tr>
      <w:tr w:rsidR="0081229E" w:rsidRPr="0081229E" w:rsidTr="0081229E">
        <w:trPr>
          <w:trHeight w:val="285"/>
        </w:trPr>
        <w:tc>
          <w:tcPr>
            <w:tcW w:w="7956" w:type="dxa"/>
            <w:noWrap/>
            <w:hideMark/>
          </w:tcPr>
          <w:p w:rsidR="00873A1A" w:rsidRPr="0081229E" w:rsidRDefault="00873A1A" w:rsidP="00873A1A">
            <w:pPr>
              <w:pStyle w:val="Header"/>
              <w:ind w:left="720"/>
              <w:jc w:val="both"/>
              <w:rPr>
                <w:rFonts w:ascii="Arial" w:hAnsi="Arial" w:cs="Arial"/>
                <w:sz w:val="24"/>
                <w:szCs w:val="24"/>
              </w:rPr>
            </w:pPr>
            <w:r w:rsidRPr="0081229E">
              <w:rPr>
                <w:rFonts w:ascii="Arial" w:hAnsi="Arial" w:cs="Arial"/>
                <w:sz w:val="24"/>
                <w:szCs w:val="24"/>
              </w:rPr>
              <w:t>HNB PRU Places</w:t>
            </w:r>
          </w:p>
        </w:tc>
        <w:tc>
          <w:tcPr>
            <w:tcW w:w="1060" w:type="dxa"/>
            <w:shd w:val="clear" w:color="auto" w:fill="auto"/>
            <w:noWrap/>
            <w:vAlign w:val="bottom"/>
            <w:hideMark/>
          </w:tcPr>
          <w:p w:rsidR="00873A1A" w:rsidRPr="0081229E" w:rsidRDefault="00873A1A" w:rsidP="00873A1A">
            <w:pPr>
              <w:pStyle w:val="Header"/>
              <w:jc w:val="right"/>
              <w:rPr>
                <w:rFonts w:ascii="Arial" w:hAnsi="Arial" w:cs="Arial"/>
                <w:sz w:val="24"/>
                <w:szCs w:val="24"/>
              </w:rPr>
            </w:pPr>
            <w:r w:rsidRPr="0081229E">
              <w:rPr>
                <w:rFonts w:ascii="Arial" w:hAnsi="Arial" w:cs="Arial"/>
                <w:sz w:val="24"/>
                <w:szCs w:val="24"/>
              </w:rPr>
              <w:t>10.00</w:t>
            </w:r>
          </w:p>
        </w:tc>
      </w:tr>
      <w:tr w:rsidR="0081229E" w:rsidRPr="0081229E" w:rsidTr="0081229E">
        <w:trPr>
          <w:trHeight w:val="285"/>
        </w:trPr>
        <w:tc>
          <w:tcPr>
            <w:tcW w:w="7956" w:type="dxa"/>
            <w:noWrap/>
            <w:hideMark/>
          </w:tcPr>
          <w:p w:rsidR="00873A1A" w:rsidRPr="0081229E" w:rsidRDefault="00873A1A" w:rsidP="00873A1A">
            <w:pPr>
              <w:pStyle w:val="Header"/>
              <w:ind w:left="720"/>
              <w:jc w:val="both"/>
              <w:rPr>
                <w:rFonts w:ascii="Arial" w:hAnsi="Arial" w:cs="Arial"/>
                <w:sz w:val="24"/>
                <w:szCs w:val="24"/>
              </w:rPr>
            </w:pPr>
            <w:r w:rsidRPr="0081229E">
              <w:rPr>
                <w:rFonts w:ascii="Arial" w:hAnsi="Arial" w:cs="Arial"/>
                <w:sz w:val="24"/>
                <w:szCs w:val="24"/>
              </w:rPr>
              <w:t>HNB PRU WPN</w:t>
            </w:r>
          </w:p>
        </w:tc>
        <w:tc>
          <w:tcPr>
            <w:tcW w:w="1060" w:type="dxa"/>
            <w:shd w:val="clear" w:color="auto" w:fill="auto"/>
            <w:noWrap/>
            <w:vAlign w:val="bottom"/>
            <w:hideMark/>
          </w:tcPr>
          <w:p w:rsidR="00873A1A" w:rsidRPr="0081229E" w:rsidRDefault="00873A1A" w:rsidP="00873A1A">
            <w:pPr>
              <w:pStyle w:val="Header"/>
              <w:jc w:val="right"/>
              <w:rPr>
                <w:rFonts w:ascii="Arial" w:hAnsi="Arial" w:cs="Arial"/>
                <w:sz w:val="24"/>
                <w:szCs w:val="24"/>
              </w:rPr>
            </w:pPr>
            <w:r w:rsidRPr="0081229E">
              <w:rPr>
                <w:rFonts w:ascii="Arial" w:hAnsi="Arial" w:cs="Arial"/>
                <w:sz w:val="24"/>
                <w:szCs w:val="24"/>
              </w:rPr>
              <w:t>0.05</w:t>
            </w:r>
          </w:p>
        </w:tc>
      </w:tr>
      <w:tr w:rsidR="0081229E" w:rsidRPr="0081229E" w:rsidTr="0081229E">
        <w:trPr>
          <w:trHeight w:val="285"/>
        </w:trPr>
        <w:tc>
          <w:tcPr>
            <w:tcW w:w="7956" w:type="dxa"/>
            <w:noWrap/>
            <w:hideMark/>
          </w:tcPr>
          <w:p w:rsidR="00873A1A" w:rsidRPr="0081229E" w:rsidRDefault="00873A1A" w:rsidP="00873A1A">
            <w:pPr>
              <w:pStyle w:val="Header"/>
              <w:ind w:left="720"/>
              <w:jc w:val="both"/>
              <w:rPr>
                <w:rFonts w:ascii="Arial" w:hAnsi="Arial" w:cs="Arial"/>
                <w:sz w:val="24"/>
                <w:szCs w:val="24"/>
              </w:rPr>
            </w:pPr>
            <w:r w:rsidRPr="0081229E">
              <w:rPr>
                <w:rFonts w:ascii="Arial" w:hAnsi="Arial" w:cs="Arial"/>
                <w:sz w:val="24"/>
                <w:szCs w:val="24"/>
              </w:rPr>
              <w:t>HNB FE</w:t>
            </w:r>
          </w:p>
        </w:tc>
        <w:tc>
          <w:tcPr>
            <w:tcW w:w="1060" w:type="dxa"/>
            <w:shd w:val="clear" w:color="auto" w:fill="auto"/>
            <w:noWrap/>
            <w:vAlign w:val="bottom"/>
            <w:hideMark/>
          </w:tcPr>
          <w:p w:rsidR="00873A1A" w:rsidRPr="0081229E" w:rsidRDefault="00873A1A" w:rsidP="00873A1A">
            <w:pPr>
              <w:pStyle w:val="Header"/>
              <w:jc w:val="right"/>
              <w:rPr>
                <w:rFonts w:ascii="Arial" w:hAnsi="Arial" w:cs="Arial"/>
                <w:sz w:val="24"/>
                <w:szCs w:val="24"/>
              </w:rPr>
            </w:pPr>
            <w:r w:rsidRPr="0081229E">
              <w:rPr>
                <w:rFonts w:ascii="Arial" w:hAnsi="Arial" w:cs="Arial"/>
                <w:sz w:val="24"/>
                <w:szCs w:val="24"/>
              </w:rPr>
              <w:t>5.54</w:t>
            </w:r>
          </w:p>
        </w:tc>
      </w:tr>
      <w:tr w:rsidR="0081229E" w:rsidRPr="0081229E" w:rsidTr="0081229E">
        <w:trPr>
          <w:trHeight w:val="353"/>
        </w:trPr>
        <w:tc>
          <w:tcPr>
            <w:tcW w:w="7956" w:type="dxa"/>
            <w:noWrap/>
            <w:hideMark/>
          </w:tcPr>
          <w:p w:rsidR="00873A1A" w:rsidRPr="0081229E" w:rsidRDefault="00873A1A" w:rsidP="00873A1A">
            <w:pPr>
              <w:pStyle w:val="Header"/>
              <w:jc w:val="both"/>
              <w:rPr>
                <w:rFonts w:ascii="Arial" w:hAnsi="Arial" w:cs="Arial"/>
                <w:sz w:val="24"/>
                <w:szCs w:val="24"/>
              </w:rPr>
            </w:pPr>
            <w:r w:rsidRPr="0081229E">
              <w:rPr>
                <w:rFonts w:ascii="Arial" w:hAnsi="Arial" w:cs="Arial"/>
                <w:sz w:val="24"/>
                <w:szCs w:val="24"/>
              </w:rPr>
              <w:t>Centrally retained budget</w:t>
            </w:r>
          </w:p>
        </w:tc>
        <w:tc>
          <w:tcPr>
            <w:tcW w:w="1060" w:type="dxa"/>
            <w:shd w:val="clear" w:color="auto" w:fill="auto"/>
            <w:noWrap/>
            <w:vAlign w:val="bottom"/>
            <w:hideMark/>
          </w:tcPr>
          <w:p w:rsidR="00873A1A" w:rsidRPr="0081229E" w:rsidRDefault="00873A1A" w:rsidP="00873A1A">
            <w:pPr>
              <w:pStyle w:val="Header"/>
              <w:jc w:val="right"/>
              <w:rPr>
                <w:rFonts w:ascii="Arial" w:hAnsi="Arial" w:cs="Arial"/>
                <w:sz w:val="24"/>
                <w:szCs w:val="24"/>
              </w:rPr>
            </w:pPr>
            <w:r w:rsidRPr="0081229E">
              <w:rPr>
                <w:rFonts w:ascii="Arial" w:hAnsi="Arial" w:cs="Arial"/>
                <w:sz w:val="24"/>
                <w:szCs w:val="24"/>
              </w:rPr>
              <w:t>37.16</w:t>
            </w:r>
          </w:p>
        </w:tc>
      </w:tr>
      <w:tr w:rsidR="0081229E" w:rsidRPr="0081229E" w:rsidTr="0081229E">
        <w:trPr>
          <w:trHeight w:val="570"/>
        </w:trPr>
        <w:tc>
          <w:tcPr>
            <w:tcW w:w="7956" w:type="dxa"/>
            <w:noWrap/>
            <w:hideMark/>
          </w:tcPr>
          <w:p w:rsidR="00873A1A" w:rsidRPr="0081229E" w:rsidRDefault="00873A1A" w:rsidP="00873A1A">
            <w:pPr>
              <w:pStyle w:val="Header"/>
              <w:jc w:val="both"/>
              <w:rPr>
                <w:rFonts w:ascii="Arial" w:hAnsi="Arial" w:cs="Arial"/>
                <w:b/>
                <w:sz w:val="24"/>
                <w:szCs w:val="24"/>
              </w:rPr>
            </w:pPr>
          </w:p>
          <w:p w:rsidR="00873A1A" w:rsidRPr="0081229E" w:rsidRDefault="00873A1A" w:rsidP="00873A1A">
            <w:pPr>
              <w:pStyle w:val="Header"/>
              <w:jc w:val="both"/>
              <w:rPr>
                <w:rFonts w:ascii="Arial" w:hAnsi="Arial" w:cs="Arial"/>
                <w:b/>
                <w:sz w:val="24"/>
                <w:szCs w:val="24"/>
              </w:rPr>
            </w:pPr>
            <w:r w:rsidRPr="0081229E">
              <w:rPr>
                <w:rFonts w:ascii="Arial" w:hAnsi="Arial" w:cs="Arial"/>
                <w:b/>
                <w:sz w:val="24"/>
                <w:szCs w:val="24"/>
              </w:rPr>
              <w:t>Total of Allocations</w:t>
            </w:r>
          </w:p>
          <w:p w:rsidR="00873A1A" w:rsidRPr="0081229E" w:rsidRDefault="00873A1A" w:rsidP="00873A1A">
            <w:pPr>
              <w:pStyle w:val="Header"/>
              <w:jc w:val="both"/>
              <w:rPr>
                <w:rFonts w:ascii="Arial" w:hAnsi="Arial" w:cs="Arial"/>
                <w:b/>
                <w:sz w:val="24"/>
                <w:szCs w:val="24"/>
              </w:rPr>
            </w:pPr>
          </w:p>
        </w:tc>
        <w:tc>
          <w:tcPr>
            <w:tcW w:w="1060" w:type="dxa"/>
            <w:shd w:val="clear" w:color="auto" w:fill="auto"/>
            <w:noWrap/>
            <w:vAlign w:val="center"/>
            <w:hideMark/>
          </w:tcPr>
          <w:p w:rsidR="00873A1A" w:rsidRPr="0081229E" w:rsidRDefault="00873A1A" w:rsidP="0081229E">
            <w:pPr>
              <w:pStyle w:val="Header"/>
              <w:jc w:val="center"/>
              <w:rPr>
                <w:rFonts w:ascii="Arial" w:hAnsi="Arial" w:cs="Arial"/>
                <w:b/>
                <w:sz w:val="24"/>
                <w:szCs w:val="24"/>
              </w:rPr>
            </w:pPr>
            <w:r w:rsidRPr="0081229E">
              <w:rPr>
                <w:rFonts w:ascii="Arial" w:hAnsi="Arial" w:cs="Arial"/>
                <w:b/>
                <w:sz w:val="24"/>
                <w:szCs w:val="24"/>
              </w:rPr>
              <w:t>889.85</w:t>
            </w:r>
          </w:p>
        </w:tc>
      </w:tr>
    </w:tbl>
    <w:p w:rsidR="00362E03" w:rsidRPr="0081229E" w:rsidRDefault="00362E03" w:rsidP="00D924CC">
      <w:pPr>
        <w:pStyle w:val="Header"/>
        <w:jc w:val="both"/>
        <w:rPr>
          <w:rFonts w:cs="Arial"/>
          <w:b/>
          <w:szCs w:val="24"/>
          <w:highlight w:val="yellow"/>
          <w:u w:val="single"/>
        </w:rPr>
      </w:pPr>
    </w:p>
    <w:p w:rsidR="00EC03A9" w:rsidRDefault="00EC03A9" w:rsidP="00D924CC">
      <w:pPr>
        <w:pStyle w:val="ListParagraph"/>
        <w:tabs>
          <w:tab w:val="left" w:pos="1635"/>
        </w:tabs>
        <w:ind w:left="0"/>
        <w:jc w:val="both"/>
        <w:rPr>
          <w:rFonts w:cs="Arial"/>
        </w:rPr>
      </w:pPr>
    </w:p>
    <w:p w:rsidR="000602F6" w:rsidRPr="0081229E" w:rsidRDefault="000602F6" w:rsidP="00D924CC">
      <w:pPr>
        <w:pStyle w:val="ListParagraph"/>
        <w:tabs>
          <w:tab w:val="left" w:pos="1635"/>
        </w:tabs>
        <w:ind w:left="0"/>
        <w:jc w:val="both"/>
        <w:rPr>
          <w:rFonts w:cs="Arial"/>
        </w:rPr>
      </w:pPr>
    </w:p>
    <w:p w:rsidR="00EC03A9" w:rsidRPr="003A73B3" w:rsidRDefault="00362E03" w:rsidP="00D924CC">
      <w:pPr>
        <w:pStyle w:val="ListParagraph"/>
        <w:tabs>
          <w:tab w:val="left" w:pos="1635"/>
        </w:tabs>
        <w:ind w:left="0"/>
        <w:jc w:val="both"/>
        <w:rPr>
          <w:rFonts w:cs="Arial"/>
          <w:b/>
          <w:u w:val="single"/>
        </w:rPr>
      </w:pPr>
      <w:r w:rsidRPr="003A73B3">
        <w:rPr>
          <w:rFonts w:cs="Arial"/>
          <w:b/>
          <w:u w:val="single"/>
        </w:rPr>
        <w:t xml:space="preserve">Central </w:t>
      </w:r>
      <w:r w:rsidR="003075D7" w:rsidRPr="003A73B3">
        <w:rPr>
          <w:rFonts w:cs="Arial"/>
          <w:b/>
          <w:u w:val="single"/>
        </w:rPr>
        <w:t>S</w:t>
      </w:r>
      <w:r w:rsidRPr="003A73B3">
        <w:rPr>
          <w:rFonts w:cs="Arial"/>
          <w:b/>
          <w:u w:val="single"/>
        </w:rPr>
        <w:t xml:space="preserve">ervices and </w:t>
      </w:r>
      <w:r w:rsidR="003075D7" w:rsidRPr="003A73B3">
        <w:rPr>
          <w:rFonts w:cs="Arial"/>
          <w:b/>
          <w:u w:val="single"/>
        </w:rPr>
        <w:t>C</w:t>
      </w:r>
      <w:r w:rsidRPr="003A73B3">
        <w:rPr>
          <w:rFonts w:cs="Arial"/>
          <w:b/>
          <w:u w:val="single"/>
        </w:rPr>
        <w:t xml:space="preserve">ommissioned </w:t>
      </w:r>
      <w:r w:rsidR="003075D7" w:rsidRPr="003A73B3">
        <w:rPr>
          <w:rFonts w:cs="Arial"/>
          <w:b/>
          <w:u w:val="single"/>
        </w:rPr>
        <w:t>S</w:t>
      </w:r>
      <w:r w:rsidRPr="003A73B3">
        <w:rPr>
          <w:rFonts w:cs="Arial"/>
          <w:b/>
          <w:u w:val="single"/>
        </w:rPr>
        <w:t xml:space="preserve">ervices </w:t>
      </w:r>
      <w:r w:rsidR="003075D7" w:rsidRPr="003A73B3">
        <w:rPr>
          <w:rFonts w:cs="Arial"/>
          <w:b/>
          <w:u w:val="single"/>
        </w:rPr>
        <w:t>B</w:t>
      </w:r>
      <w:r w:rsidRPr="003A73B3">
        <w:rPr>
          <w:rFonts w:cs="Arial"/>
          <w:b/>
          <w:u w:val="single"/>
        </w:rPr>
        <w:t xml:space="preserve">udget </w:t>
      </w:r>
      <w:r w:rsidR="00E21198" w:rsidRPr="003A73B3">
        <w:rPr>
          <w:rFonts w:cs="Arial"/>
          <w:b/>
          <w:u w:val="single"/>
        </w:rPr>
        <w:t>2017/18</w:t>
      </w:r>
    </w:p>
    <w:p w:rsidR="00EC03A9" w:rsidRPr="003A73B3" w:rsidRDefault="00EC03A9" w:rsidP="00D924CC">
      <w:pPr>
        <w:jc w:val="both"/>
        <w:rPr>
          <w:rFonts w:cs="Arial"/>
        </w:rPr>
      </w:pPr>
      <w:r w:rsidRPr="003A73B3">
        <w:rPr>
          <w:rFonts w:cs="Arial"/>
        </w:rPr>
        <w:t>As a result of the national funding reforms introduced in April 2013, the central items budget is now split into two distinct areas, these are now known as the centrally retained budgets:</w:t>
      </w:r>
    </w:p>
    <w:p w:rsidR="00EC03A9" w:rsidRPr="003A73B3" w:rsidRDefault="00EC03A9" w:rsidP="00D924CC">
      <w:pPr>
        <w:jc w:val="both"/>
        <w:rPr>
          <w:rFonts w:cs="Arial"/>
        </w:rPr>
      </w:pPr>
    </w:p>
    <w:p w:rsidR="00EC03A9" w:rsidRPr="003A73B3" w:rsidRDefault="00EC03A9" w:rsidP="00D924CC">
      <w:pPr>
        <w:pStyle w:val="ListParagraph"/>
        <w:numPr>
          <w:ilvl w:val="0"/>
          <w:numId w:val="19"/>
        </w:numPr>
        <w:tabs>
          <w:tab w:val="left" w:pos="1635"/>
        </w:tabs>
        <w:contextualSpacing w:val="0"/>
        <w:jc w:val="both"/>
        <w:rPr>
          <w:rFonts w:cs="Arial"/>
        </w:rPr>
      </w:pPr>
      <w:r w:rsidRPr="003A73B3">
        <w:rPr>
          <w:rFonts w:cs="Arial"/>
        </w:rPr>
        <w:t>Central Services - Where funding stays with the LA.  These areas are generally LA statutory functions and budgets are capped at the previous year's level;</w:t>
      </w:r>
    </w:p>
    <w:p w:rsidR="00EC03A9" w:rsidRPr="003A73B3" w:rsidRDefault="00EC03A9" w:rsidP="00D924CC">
      <w:pPr>
        <w:pStyle w:val="ListParagraph"/>
        <w:numPr>
          <w:ilvl w:val="0"/>
          <w:numId w:val="19"/>
        </w:numPr>
        <w:tabs>
          <w:tab w:val="left" w:pos="1635"/>
        </w:tabs>
        <w:contextualSpacing w:val="0"/>
        <w:jc w:val="both"/>
        <w:rPr>
          <w:rFonts w:cs="Arial"/>
        </w:rPr>
      </w:pPr>
      <w:r w:rsidRPr="003A73B3">
        <w:rPr>
          <w:rFonts w:cs="Arial"/>
        </w:rPr>
        <w:t>Commissioned Services - Where funding is held centrally but then allocated to schools/service providers in connection with the education provision for individual pupils/young people.</w:t>
      </w:r>
    </w:p>
    <w:p w:rsidR="00EC03A9" w:rsidRPr="003A73B3" w:rsidRDefault="00EC03A9" w:rsidP="00D924CC">
      <w:pPr>
        <w:jc w:val="both"/>
        <w:rPr>
          <w:rFonts w:cs="Arial"/>
        </w:rPr>
      </w:pPr>
    </w:p>
    <w:p w:rsidR="00EB3192" w:rsidRPr="003A73B3" w:rsidRDefault="00EC03A9" w:rsidP="00D924CC">
      <w:pPr>
        <w:jc w:val="both"/>
        <w:rPr>
          <w:rFonts w:cs="Arial"/>
        </w:rPr>
      </w:pPr>
      <w:r w:rsidRPr="003A73B3">
        <w:rPr>
          <w:rFonts w:cs="Arial"/>
        </w:rPr>
        <w:t xml:space="preserve">As in previous years a detailed review of the centrally retained budgets has been undertaken and </w:t>
      </w:r>
      <w:r w:rsidR="00EB3192" w:rsidRPr="003A73B3">
        <w:rPr>
          <w:rFonts w:cs="Arial"/>
        </w:rPr>
        <w:t>information is provided</w:t>
      </w:r>
      <w:r w:rsidR="007B1A7E" w:rsidRPr="003A73B3">
        <w:rPr>
          <w:rFonts w:cs="Arial"/>
        </w:rPr>
        <w:t xml:space="preserve"> in the table below </w:t>
      </w:r>
      <w:r w:rsidR="00EB3192" w:rsidRPr="003A73B3">
        <w:rPr>
          <w:rFonts w:cs="Arial"/>
        </w:rPr>
        <w:t xml:space="preserve">together with explanatory notes for the variance between </w:t>
      </w:r>
      <w:r w:rsidR="004C0042" w:rsidRPr="003A73B3">
        <w:rPr>
          <w:rFonts w:cs="Arial"/>
        </w:rPr>
        <w:t>2016/17</w:t>
      </w:r>
      <w:r w:rsidR="003A73B3">
        <w:rPr>
          <w:rFonts w:cs="Arial"/>
        </w:rPr>
        <w:t xml:space="preserve"> and 2017/18.</w:t>
      </w:r>
    </w:p>
    <w:p w:rsidR="00061A63" w:rsidRPr="003A73B3" w:rsidRDefault="00061A63" w:rsidP="00D924CC">
      <w:pPr>
        <w:jc w:val="both"/>
        <w:rPr>
          <w:rFonts w:cs="Arial"/>
        </w:rPr>
      </w:pPr>
    </w:p>
    <w:p w:rsidR="004C0042" w:rsidRPr="003703EB" w:rsidRDefault="00061A63" w:rsidP="004C0042">
      <w:pPr>
        <w:jc w:val="both"/>
        <w:rPr>
          <w:color w:val="FF0000"/>
        </w:rPr>
      </w:pPr>
      <w:r w:rsidRPr="00061A63">
        <w:rPr>
          <w:noProof/>
        </w:rPr>
        <w:drawing>
          <wp:inline distT="0" distB="0" distL="0" distR="0" wp14:anchorId="31EC48D2" wp14:editId="2B3DDB13">
            <wp:extent cx="5731510" cy="49952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995280"/>
                    </a:xfrm>
                    <a:prstGeom prst="rect">
                      <a:avLst/>
                    </a:prstGeom>
                    <a:noFill/>
                    <a:ln>
                      <a:noFill/>
                    </a:ln>
                  </pic:spPr>
                </pic:pic>
              </a:graphicData>
            </a:graphic>
          </wp:inline>
        </w:drawing>
      </w:r>
    </w:p>
    <w:p w:rsidR="000602F6" w:rsidRDefault="000602F6" w:rsidP="00D924CC">
      <w:pPr>
        <w:pStyle w:val="Header"/>
        <w:jc w:val="both"/>
        <w:rPr>
          <w:rFonts w:cs="Arial"/>
          <w:b/>
          <w:szCs w:val="24"/>
          <w:u w:val="single"/>
        </w:rPr>
      </w:pPr>
    </w:p>
    <w:p w:rsidR="004B7E1B" w:rsidRPr="000602F6" w:rsidRDefault="00410D47" w:rsidP="00D924CC">
      <w:pPr>
        <w:pStyle w:val="Header"/>
        <w:jc w:val="both"/>
        <w:rPr>
          <w:rFonts w:cs="Arial"/>
          <w:i/>
          <w:szCs w:val="24"/>
        </w:rPr>
      </w:pPr>
      <w:r w:rsidRPr="000602F6">
        <w:rPr>
          <w:rFonts w:cs="Arial"/>
          <w:i/>
          <w:szCs w:val="24"/>
        </w:rPr>
        <w:t>Notes</w:t>
      </w:r>
    </w:p>
    <w:p w:rsidR="00410D47" w:rsidRPr="003A73B3" w:rsidRDefault="00410D47" w:rsidP="00D924CC">
      <w:pPr>
        <w:pStyle w:val="Header"/>
        <w:jc w:val="both"/>
        <w:rPr>
          <w:rFonts w:cs="Arial"/>
          <w:b/>
          <w:szCs w:val="24"/>
          <w:u w:val="single"/>
        </w:rPr>
      </w:pPr>
    </w:p>
    <w:p w:rsidR="00E21198" w:rsidRPr="008741A5" w:rsidRDefault="00E21198" w:rsidP="00E21198">
      <w:pPr>
        <w:rPr>
          <w:i/>
        </w:rPr>
      </w:pPr>
      <w:r w:rsidRPr="008741A5">
        <w:rPr>
          <w:i/>
        </w:rPr>
        <w:t xml:space="preserve">Note 1: </w:t>
      </w:r>
      <w:r w:rsidRPr="00E21198">
        <w:rPr>
          <w:i/>
        </w:rPr>
        <w:t>ESG transferred to DSG</w:t>
      </w:r>
      <w:r>
        <w:rPr>
          <w:i/>
        </w:rPr>
        <w:t xml:space="preserve"> increased by £2.591</w:t>
      </w:r>
      <w:r w:rsidRPr="008741A5">
        <w:rPr>
          <w:i/>
        </w:rPr>
        <w:t>m</w:t>
      </w:r>
    </w:p>
    <w:p w:rsidR="00E21198" w:rsidRPr="007441A8" w:rsidRDefault="00E21198" w:rsidP="00E21198">
      <w:pPr>
        <w:jc w:val="both"/>
        <w:rPr>
          <w:rFonts w:cs="Arial"/>
        </w:rPr>
      </w:pPr>
      <w:r w:rsidRPr="00410D47">
        <w:rPr>
          <w:rFonts w:cs="Arial"/>
        </w:rPr>
        <w:t xml:space="preserve">The 2017/18 </w:t>
      </w:r>
      <w:r>
        <w:rPr>
          <w:rFonts w:cs="Arial"/>
        </w:rPr>
        <w:t xml:space="preserve">Schools Block allocation incorporates </w:t>
      </w:r>
      <w:r w:rsidRPr="007441A8">
        <w:rPr>
          <w:rFonts w:cs="Arial"/>
        </w:rPr>
        <w:t xml:space="preserve">£2.59m of Education Services Grant (ESG) </w:t>
      </w:r>
      <w:r>
        <w:rPr>
          <w:rFonts w:cs="Arial"/>
        </w:rPr>
        <w:t xml:space="preserve">retained duties funding </w:t>
      </w:r>
      <w:r w:rsidRPr="00410D47">
        <w:rPr>
          <w:rFonts w:cs="Arial"/>
        </w:rPr>
        <w:t>that  has been transferred into the DSG schools block for 2017/18.</w:t>
      </w:r>
      <w:r>
        <w:rPr>
          <w:rFonts w:cs="Arial"/>
        </w:rPr>
        <w:t xml:space="preserve">  Schools Forum approval will be sought to transfer this amount into the central items budget to enable the LA to continue statutory functions. </w:t>
      </w:r>
    </w:p>
    <w:p w:rsidR="00E21198" w:rsidRDefault="00E21198" w:rsidP="00E21198"/>
    <w:p w:rsidR="00E21198" w:rsidRPr="008741A5" w:rsidRDefault="00E21198" w:rsidP="003A73B3">
      <w:pPr>
        <w:jc w:val="both"/>
        <w:rPr>
          <w:i/>
        </w:rPr>
      </w:pPr>
      <w:r w:rsidRPr="008741A5">
        <w:rPr>
          <w:i/>
        </w:rPr>
        <w:t>Note 2: Early Intervention Funding r</w:t>
      </w:r>
      <w:r>
        <w:rPr>
          <w:i/>
        </w:rPr>
        <w:t>educed by £0</w:t>
      </w:r>
      <w:r w:rsidRPr="008741A5">
        <w:rPr>
          <w:i/>
        </w:rPr>
        <w:t>.</w:t>
      </w:r>
      <w:r>
        <w:rPr>
          <w:i/>
        </w:rPr>
        <w:t>215</w:t>
      </w:r>
      <w:r w:rsidRPr="008741A5">
        <w:rPr>
          <w:i/>
        </w:rPr>
        <w:t>m</w:t>
      </w:r>
    </w:p>
    <w:p w:rsidR="00E21198" w:rsidRDefault="00E21198" w:rsidP="003A73B3">
      <w:pPr>
        <w:jc w:val="both"/>
      </w:pPr>
      <w:r>
        <w:t xml:space="preserve">The </w:t>
      </w:r>
      <w:r w:rsidRPr="00FA3104">
        <w:t xml:space="preserve">EFA have issued revised guidance for 2017/18 specifically in relation to 'historic </w:t>
      </w:r>
      <w:r>
        <w:t xml:space="preserve">commitments' funding.  This guidance sets criteria that must be met to allow any funding classed as a 'combined budget' to be met from DSG in 2017/18.  Schools Forum have support the continued use of these funding streams, but </w:t>
      </w:r>
      <w:r w:rsidR="003A73B3">
        <w:t xml:space="preserve">with a </w:t>
      </w:r>
      <w:r>
        <w:t xml:space="preserve">reduction of £0.215m against </w:t>
      </w:r>
      <w:r w:rsidR="003A73B3">
        <w:t>2016/17</w:t>
      </w:r>
      <w:r>
        <w:t xml:space="preserve"> provision</w:t>
      </w:r>
      <w:r w:rsidR="003A73B3">
        <w:t>.</w:t>
      </w:r>
    </w:p>
    <w:p w:rsidR="00E21198" w:rsidRDefault="00E21198" w:rsidP="003A73B3">
      <w:pPr>
        <w:jc w:val="both"/>
      </w:pPr>
    </w:p>
    <w:p w:rsidR="00E21198" w:rsidRPr="008741A5" w:rsidRDefault="00E21198" w:rsidP="003A73B3">
      <w:pPr>
        <w:jc w:val="both"/>
        <w:rPr>
          <w:i/>
        </w:rPr>
      </w:pPr>
      <w:r w:rsidRPr="008741A5">
        <w:rPr>
          <w:i/>
        </w:rPr>
        <w:t xml:space="preserve">Note 3: PFI - Special, Sixth Form, </w:t>
      </w:r>
      <w:proofErr w:type="gramStart"/>
      <w:r w:rsidRPr="008741A5">
        <w:rPr>
          <w:i/>
        </w:rPr>
        <w:t>Nursery</w:t>
      </w:r>
      <w:proofErr w:type="gramEnd"/>
      <w:r w:rsidRPr="008741A5">
        <w:rPr>
          <w:i/>
        </w:rPr>
        <w:t xml:space="preserve"> increased by £0.</w:t>
      </w:r>
      <w:r>
        <w:rPr>
          <w:i/>
        </w:rPr>
        <w:t>762</w:t>
      </w:r>
      <w:r w:rsidRPr="008741A5">
        <w:rPr>
          <w:i/>
        </w:rPr>
        <w:t>m</w:t>
      </w:r>
    </w:p>
    <w:p w:rsidR="00E21198" w:rsidRDefault="00E21198" w:rsidP="003A73B3">
      <w:pPr>
        <w:jc w:val="both"/>
      </w:pPr>
      <w:r>
        <w:t>A number of years ago, following advice from the EFA, the Schools Forum agreed that contractual PFI contributions for special schools could be met from the central items budget, as the special school formula was not sufficiently flexible or responsive to allow delegation.</w:t>
      </w:r>
    </w:p>
    <w:p w:rsidR="00E21198" w:rsidRDefault="00E21198" w:rsidP="003A73B3">
      <w:pPr>
        <w:jc w:val="both"/>
      </w:pPr>
    </w:p>
    <w:p w:rsidR="00E21198" w:rsidRDefault="00E21198" w:rsidP="003A73B3">
      <w:pPr>
        <w:jc w:val="both"/>
      </w:pPr>
      <w:r>
        <w:t>National funding changes for sixth forms and nursery schools now require additional PFI provisions to be made in the central items budget, as set out below:</w:t>
      </w:r>
    </w:p>
    <w:p w:rsidR="00E21198" w:rsidRDefault="00E21198" w:rsidP="003A73B3">
      <w:pPr>
        <w:pStyle w:val="ListParagraph"/>
        <w:numPr>
          <w:ilvl w:val="0"/>
          <w:numId w:val="34"/>
        </w:numPr>
        <w:jc w:val="both"/>
      </w:pPr>
      <w:r>
        <w:t xml:space="preserve">EFA changes for sixth form funding to be introduced from April 2017 mean that there will no longer be any Schools Block funding allocation to Lancashire's sixth form PFI </w:t>
      </w:r>
      <w:proofErr w:type="gramStart"/>
      <w:r>
        <w:t>school</w:t>
      </w:r>
      <w:proofErr w:type="gramEnd"/>
      <w:r>
        <w:t xml:space="preserve"> and all funding will in future be allocated directly by the EFA.  There will therefore be no mechanism for the school to receive its formula funding PFI allocation to meet the contractual requirement.  Discussions with the EFA have identified that they propose that authorities retain the PFI funding for such schools within the central expenditure budget, the EFA are proposing to include this within the proposed consultations on the national funding formula;</w:t>
      </w:r>
    </w:p>
    <w:p w:rsidR="00E21198" w:rsidRDefault="00E21198" w:rsidP="003A73B3">
      <w:pPr>
        <w:pStyle w:val="ListParagraph"/>
        <w:numPr>
          <w:ilvl w:val="0"/>
          <w:numId w:val="34"/>
        </w:numPr>
        <w:jc w:val="both"/>
      </w:pPr>
      <w:r>
        <w:t>The Early Years National Funding Formula (EYNFF) proposals to be introduced in April 2017 will restrict the supplements that can be paid to early years settings and will not include a PFI factor.  Provision has therefore been made in the central expenditure budget for 2017/18, to allow the contractual obligations for the county's PFI nursery school to continue to be met.</w:t>
      </w:r>
    </w:p>
    <w:p w:rsidR="00E21198" w:rsidRDefault="00E21198" w:rsidP="003A73B3">
      <w:pPr>
        <w:jc w:val="both"/>
      </w:pPr>
    </w:p>
    <w:p w:rsidR="00E21198" w:rsidRPr="008741A5" w:rsidRDefault="00E21198" w:rsidP="003A73B3">
      <w:pPr>
        <w:jc w:val="both"/>
        <w:rPr>
          <w:i/>
        </w:rPr>
      </w:pPr>
      <w:r w:rsidRPr="008741A5">
        <w:rPr>
          <w:i/>
        </w:rPr>
        <w:t xml:space="preserve">Note </w:t>
      </w:r>
      <w:r w:rsidR="003A73B3">
        <w:rPr>
          <w:i/>
        </w:rPr>
        <w:t>4</w:t>
      </w:r>
      <w:r w:rsidRPr="008741A5">
        <w:rPr>
          <w:i/>
        </w:rPr>
        <w:t xml:space="preserve">: </w:t>
      </w:r>
      <w:r w:rsidRPr="007D3C30">
        <w:rPr>
          <w:i/>
        </w:rPr>
        <w:t>EU Energy Performance Directive</w:t>
      </w:r>
      <w:r w:rsidRPr="008741A5">
        <w:rPr>
          <w:i/>
        </w:rPr>
        <w:t xml:space="preserve"> reduced by £0.011m</w:t>
      </w:r>
    </w:p>
    <w:p w:rsidR="00E21198" w:rsidRDefault="003A73B3" w:rsidP="003A73B3">
      <w:pPr>
        <w:jc w:val="both"/>
      </w:pPr>
      <w:r>
        <w:t>A</w:t>
      </w:r>
      <w:r w:rsidR="00E21198">
        <w:t xml:space="preserve"> provision of £0.11m for the </w:t>
      </w:r>
      <w:r w:rsidR="00E21198" w:rsidRPr="007D3C30">
        <w:t>EU Energy Performance Directive</w:t>
      </w:r>
      <w:r w:rsidR="00E21198">
        <w:t xml:space="preserve"> in the early years block was a historic anomaly that was not utilised in 2016/17.  It has therefore been removed from the 2017/18 budget.</w:t>
      </w:r>
    </w:p>
    <w:p w:rsidR="00E21198" w:rsidRPr="00F754D5" w:rsidRDefault="00E21198" w:rsidP="003A73B3">
      <w:pPr>
        <w:jc w:val="both"/>
      </w:pPr>
    </w:p>
    <w:p w:rsidR="00E21198" w:rsidRPr="008741A5" w:rsidRDefault="00E21198" w:rsidP="003A73B3">
      <w:pPr>
        <w:jc w:val="both"/>
        <w:rPr>
          <w:i/>
        </w:rPr>
      </w:pPr>
      <w:r w:rsidRPr="008741A5">
        <w:rPr>
          <w:i/>
        </w:rPr>
        <w:t xml:space="preserve">Note </w:t>
      </w:r>
      <w:r w:rsidR="003A73B3">
        <w:rPr>
          <w:i/>
        </w:rPr>
        <w:t>5</w:t>
      </w:r>
      <w:r w:rsidRPr="008741A5">
        <w:rPr>
          <w:i/>
        </w:rPr>
        <w:t xml:space="preserve"> </w:t>
      </w:r>
      <w:r w:rsidRPr="003E16F8">
        <w:rPr>
          <w:i/>
        </w:rPr>
        <w:t>High Needs Block Top up</w:t>
      </w:r>
      <w:r w:rsidRPr="008741A5">
        <w:rPr>
          <w:i/>
        </w:rPr>
        <w:t xml:space="preserve"> reduced by £2.249m</w:t>
      </w:r>
    </w:p>
    <w:p w:rsidR="00E21198" w:rsidRDefault="00E21198" w:rsidP="003A73B3">
      <w:pPr>
        <w:jc w:val="both"/>
      </w:pPr>
      <w:r>
        <w:t xml:space="preserve">In previous years, this provision has been used to fund additional high needs top up allocations that are identified through the course of the year at the termly SEN counts and redeterminations in the Schools and High Needs Blocks.  However, termly increases in early </w:t>
      </w:r>
      <w:proofErr w:type="gramStart"/>
      <w:r>
        <w:t>years</w:t>
      </w:r>
      <w:proofErr w:type="gramEnd"/>
      <w:r>
        <w:t xml:space="preserve"> settings were treated in a different way, as the 'growth' is built into the early years formula model.  Having reviewed the different methodologies, it is considered more appropriate to build the high needs growth into the funding model, as this provides consistency with the early years arrangements and more accurately reflects that the expenditure is a budgeted school allocation.  £2.249m has therefore been removed from the 2017/18 central items provisions, but a similar amount will be included with the formula models during the budget finalisation process.</w:t>
      </w:r>
    </w:p>
    <w:p w:rsidR="00E21198" w:rsidRDefault="00E21198" w:rsidP="003A73B3">
      <w:pPr>
        <w:jc w:val="both"/>
      </w:pPr>
    </w:p>
    <w:p w:rsidR="00E21198" w:rsidRPr="008741A5" w:rsidRDefault="00E21198" w:rsidP="003A73B3">
      <w:pPr>
        <w:jc w:val="both"/>
        <w:rPr>
          <w:rFonts w:cs="Arial"/>
          <w:i/>
          <w:color w:val="000000"/>
        </w:rPr>
      </w:pPr>
      <w:r w:rsidRPr="008741A5">
        <w:rPr>
          <w:rFonts w:cs="Arial"/>
          <w:i/>
          <w:color w:val="000000"/>
        </w:rPr>
        <w:t xml:space="preserve">Note </w:t>
      </w:r>
      <w:r w:rsidR="003A73B3">
        <w:rPr>
          <w:rFonts w:cs="Arial"/>
          <w:i/>
          <w:color w:val="000000"/>
        </w:rPr>
        <w:t>6</w:t>
      </w:r>
      <w:r w:rsidRPr="008741A5">
        <w:rPr>
          <w:rFonts w:cs="Arial"/>
          <w:i/>
          <w:color w:val="000000"/>
        </w:rPr>
        <w:t xml:space="preserve">: </w:t>
      </w:r>
      <w:r w:rsidRPr="00471E0F">
        <w:rPr>
          <w:rFonts w:cs="Arial"/>
          <w:i/>
          <w:color w:val="000000"/>
        </w:rPr>
        <w:t>Comm</w:t>
      </w:r>
      <w:r w:rsidRPr="008741A5">
        <w:rPr>
          <w:rFonts w:cs="Arial"/>
          <w:i/>
          <w:color w:val="000000"/>
        </w:rPr>
        <w:t>issioned Alternative Provision S</w:t>
      </w:r>
      <w:r w:rsidRPr="00471E0F">
        <w:rPr>
          <w:rFonts w:cs="Arial"/>
          <w:i/>
          <w:color w:val="000000"/>
        </w:rPr>
        <w:t>ervices</w:t>
      </w:r>
      <w:r w:rsidRPr="008741A5">
        <w:rPr>
          <w:rFonts w:cs="Arial"/>
          <w:i/>
          <w:color w:val="000000"/>
        </w:rPr>
        <w:t xml:space="preserve"> increased by £0.351m net</w:t>
      </w:r>
    </w:p>
    <w:p w:rsidR="00E21198" w:rsidRDefault="003A73B3" w:rsidP="003A73B3">
      <w:pPr>
        <w:jc w:val="both"/>
        <w:rPr>
          <w:rFonts w:cs="Arial"/>
          <w:color w:val="000000"/>
        </w:rPr>
      </w:pPr>
      <w:r>
        <w:rPr>
          <w:rFonts w:cs="Arial"/>
          <w:color w:val="000000"/>
        </w:rPr>
        <w:t>T</w:t>
      </w:r>
      <w:r w:rsidR="00E21198">
        <w:rPr>
          <w:rFonts w:cs="Arial"/>
          <w:color w:val="000000"/>
        </w:rPr>
        <w:t xml:space="preserve">here has been considerable pressure on the Alternative Provision budget and the service has been using funding from various budget headings to support and manage this demand.  However, the 2016/17 outturn is still forecasting an overspend position.   For 2017/18, a single provision has been made, totalling £2m, for AP commissioned services.  This budget merges separate budget lines to provide a single core provision and increases the proposed resources by just over £0.350m. </w:t>
      </w:r>
    </w:p>
    <w:p w:rsidR="00E21198" w:rsidRDefault="00E21198" w:rsidP="003A73B3">
      <w:pPr>
        <w:jc w:val="both"/>
        <w:rPr>
          <w:rFonts w:cs="Arial"/>
          <w:color w:val="000000"/>
        </w:rPr>
      </w:pPr>
    </w:p>
    <w:p w:rsidR="009625F4" w:rsidRPr="0081229E" w:rsidRDefault="009625F4" w:rsidP="00D924CC">
      <w:pPr>
        <w:pStyle w:val="Header"/>
        <w:jc w:val="both"/>
        <w:rPr>
          <w:rFonts w:cs="Arial"/>
          <w:b/>
          <w:szCs w:val="24"/>
          <w:u w:val="single"/>
        </w:rPr>
      </w:pPr>
    </w:p>
    <w:p w:rsidR="00EC03A9" w:rsidRPr="0081229E" w:rsidRDefault="00804360" w:rsidP="00D924CC">
      <w:pPr>
        <w:pStyle w:val="Header"/>
        <w:jc w:val="both"/>
        <w:rPr>
          <w:rFonts w:cs="Arial"/>
          <w:b/>
          <w:szCs w:val="24"/>
          <w:u w:val="single"/>
        </w:rPr>
      </w:pPr>
      <w:r w:rsidRPr="0081229E">
        <w:rPr>
          <w:rFonts w:cs="Arial"/>
          <w:b/>
          <w:szCs w:val="24"/>
          <w:u w:val="single"/>
        </w:rPr>
        <w:t>Funding Shortfall</w:t>
      </w:r>
    </w:p>
    <w:p w:rsidR="00EC03A9" w:rsidRPr="0081229E" w:rsidRDefault="00EC03A9" w:rsidP="00D924CC">
      <w:pPr>
        <w:pStyle w:val="Header"/>
        <w:jc w:val="both"/>
        <w:rPr>
          <w:rFonts w:cs="Arial"/>
          <w:szCs w:val="24"/>
        </w:rPr>
      </w:pPr>
      <w:r w:rsidRPr="0081229E">
        <w:rPr>
          <w:rFonts w:cs="Arial"/>
          <w:szCs w:val="24"/>
        </w:rPr>
        <w:t xml:space="preserve">The table below has taken the figures discussed above for the </w:t>
      </w:r>
      <w:r w:rsidR="009625F4" w:rsidRPr="0081229E">
        <w:rPr>
          <w:rFonts w:cs="Arial"/>
          <w:szCs w:val="24"/>
        </w:rPr>
        <w:t xml:space="preserve">forecast </w:t>
      </w:r>
      <w:r w:rsidRPr="0081229E">
        <w:rPr>
          <w:rFonts w:cs="Arial"/>
          <w:szCs w:val="24"/>
        </w:rPr>
        <w:t xml:space="preserve">DSG </w:t>
      </w:r>
      <w:r w:rsidR="009625F4" w:rsidRPr="0081229E">
        <w:rPr>
          <w:rFonts w:cs="Arial"/>
          <w:szCs w:val="24"/>
        </w:rPr>
        <w:t>income</w:t>
      </w:r>
      <w:r w:rsidRPr="0081229E">
        <w:rPr>
          <w:rFonts w:cs="Arial"/>
          <w:szCs w:val="24"/>
        </w:rPr>
        <w:t xml:space="preserve">, the estimate of ISBs and the centrally retained budget to calculate the initial </w:t>
      </w:r>
      <w:r w:rsidR="00804360" w:rsidRPr="0081229E">
        <w:rPr>
          <w:rFonts w:cs="Arial"/>
          <w:szCs w:val="24"/>
        </w:rPr>
        <w:t>shortfall in funding</w:t>
      </w:r>
      <w:r w:rsidRPr="0081229E">
        <w:rPr>
          <w:rFonts w:cs="Arial"/>
          <w:szCs w:val="24"/>
        </w:rPr>
        <w:t xml:space="preserve"> to the Forum. </w:t>
      </w:r>
      <w:r w:rsidR="009625F4" w:rsidRPr="0081229E">
        <w:rPr>
          <w:rFonts w:cs="Arial"/>
          <w:szCs w:val="24"/>
        </w:rPr>
        <w:t xml:space="preserve">Also included is additional funding made available by the Forum from </w:t>
      </w:r>
      <w:proofErr w:type="gramStart"/>
      <w:r w:rsidR="009625F4" w:rsidRPr="0081229E">
        <w:rPr>
          <w:rFonts w:cs="Arial"/>
          <w:szCs w:val="24"/>
        </w:rPr>
        <w:t>reserves.</w:t>
      </w:r>
      <w:proofErr w:type="gramEnd"/>
      <w:r w:rsidR="009625F4" w:rsidRPr="0081229E">
        <w:rPr>
          <w:rFonts w:cs="Arial"/>
          <w:szCs w:val="24"/>
        </w:rPr>
        <w:t xml:space="preserve"> </w:t>
      </w:r>
      <w:r w:rsidRPr="0081229E">
        <w:rPr>
          <w:rFonts w:cs="Arial"/>
          <w:szCs w:val="24"/>
        </w:rPr>
        <w:t>This is detailed in the table below:</w:t>
      </w:r>
    </w:p>
    <w:p w:rsidR="00362E03" w:rsidRDefault="00362E03" w:rsidP="00D924CC">
      <w:pPr>
        <w:pStyle w:val="Header"/>
        <w:jc w:val="both"/>
        <w:rPr>
          <w:rFonts w:cs="Arial"/>
          <w:szCs w:val="24"/>
        </w:rPr>
      </w:pPr>
    </w:p>
    <w:p w:rsidR="0081229E" w:rsidRPr="0081229E" w:rsidRDefault="0081229E" w:rsidP="00D924CC">
      <w:pPr>
        <w:pStyle w:val="Header"/>
        <w:jc w:val="both"/>
        <w:rPr>
          <w:rFonts w:cs="Arial"/>
          <w:szCs w:val="24"/>
        </w:rPr>
      </w:pPr>
    </w:p>
    <w:p w:rsidR="00362E03" w:rsidRPr="0081229E" w:rsidRDefault="00362E03" w:rsidP="00D924CC">
      <w:pPr>
        <w:pStyle w:val="Header"/>
        <w:jc w:val="both"/>
        <w:rPr>
          <w:rFonts w:cs="Arial"/>
          <w:b/>
          <w:szCs w:val="24"/>
          <w:u w:val="single"/>
        </w:rPr>
      </w:pPr>
      <w:r w:rsidRPr="0081229E">
        <w:rPr>
          <w:rFonts w:cs="Arial"/>
          <w:b/>
          <w:szCs w:val="24"/>
          <w:u w:val="single"/>
        </w:rPr>
        <w:t>Calculation of funding shortfall</w:t>
      </w:r>
    </w:p>
    <w:p w:rsidR="00EC03A9" w:rsidRPr="0081229E" w:rsidRDefault="00EC03A9" w:rsidP="00D924CC">
      <w:pPr>
        <w:pStyle w:val="ListParagraph"/>
        <w:ind w:left="0"/>
        <w:jc w:val="both"/>
        <w:rPr>
          <w:rFonts w:cs="Arial"/>
        </w:rPr>
      </w:pPr>
    </w:p>
    <w:tbl>
      <w:tblPr>
        <w:tblStyle w:val="TableGrid"/>
        <w:tblW w:w="0" w:type="auto"/>
        <w:tblLook w:val="04A0" w:firstRow="1" w:lastRow="0" w:firstColumn="1" w:lastColumn="0" w:noHBand="0" w:noVBand="1"/>
      </w:tblPr>
      <w:tblGrid>
        <w:gridCol w:w="7650"/>
        <w:gridCol w:w="1366"/>
      </w:tblGrid>
      <w:tr w:rsidR="0081229E" w:rsidRPr="0081229E" w:rsidTr="00C10705">
        <w:trPr>
          <w:trHeight w:val="285"/>
        </w:trPr>
        <w:tc>
          <w:tcPr>
            <w:tcW w:w="7650" w:type="dxa"/>
            <w:noWrap/>
            <w:hideMark/>
          </w:tcPr>
          <w:p w:rsidR="009625F4" w:rsidRPr="0081229E" w:rsidRDefault="009625F4" w:rsidP="0005179E">
            <w:pPr>
              <w:jc w:val="both"/>
              <w:rPr>
                <w:rFonts w:ascii="Arial" w:hAnsi="Arial" w:cs="Arial"/>
                <w:sz w:val="24"/>
              </w:rPr>
            </w:pPr>
            <w:r w:rsidRPr="0081229E">
              <w:rPr>
                <w:rFonts w:ascii="Arial" w:hAnsi="Arial" w:cs="Arial"/>
                <w:sz w:val="24"/>
              </w:rPr>
              <w:t>Total forecast DSG income funding available 2017</w:t>
            </w:r>
            <w:r w:rsidR="0005179E" w:rsidRPr="0081229E">
              <w:rPr>
                <w:rFonts w:ascii="Arial" w:hAnsi="Arial" w:cs="Arial"/>
                <w:sz w:val="24"/>
              </w:rPr>
              <w:t>/18</w:t>
            </w:r>
          </w:p>
        </w:tc>
        <w:tc>
          <w:tcPr>
            <w:tcW w:w="1366" w:type="dxa"/>
            <w:noWrap/>
            <w:hideMark/>
          </w:tcPr>
          <w:p w:rsidR="009625F4" w:rsidRPr="0081229E" w:rsidRDefault="00873A1A" w:rsidP="000D0032">
            <w:pPr>
              <w:jc w:val="right"/>
              <w:rPr>
                <w:rFonts w:ascii="Arial" w:hAnsi="Arial" w:cs="Arial"/>
                <w:sz w:val="24"/>
              </w:rPr>
            </w:pPr>
            <w:r w:rsidRPr="0081229E">
              <w:rPr>
                <w:rFonts w:ascii="Arial" w:hAnsi="Arial" w:cs="Arial"/>
                <w:sz w:val="24"/>
              </w:rPr>
              <w:t>881.82</w:t>
            </w:r>
            <w:r w:rsidR="009625F4" w:rsidRPr="0081229E">
              <w:rPr>
                <w:rFonts w:ascii="Arial" w:hAnsi="Arial" w:cs="Arial"/>
                <w:sz w:val="24"/>
              </w:rPr>
              <w:t xml:space="preserve"> </w:t>
            </w:r>
          </w:p>
        </w:tc>
      </w:tr>
      <w:tr w:rsidR="00C10705" w:rsidRPr="0081229E" w:rsidTr="00714E17">
        <w:trPr>
          <w:trHeight w:val="271"/>
        </w:trPr>
        <w:tc>
          <w:tcPr>
            <w:tcW w:w="7650" w:type="dxa"/>
            <w:noWrap/>
            <w:hideMark/>
          </w:tcPr>
          <w:p w:rsidR="00C10705" w:rsidRPr="0081229E" w:rsidRDefault="00C10705" w:rsidP="0052529E">
            <w:pPr>
              <w:jc w:val="both"/>
              <w:rPr>
                <w:rFonts w:ascii="Arial" w:hAnsi="Arial" w:cs="Arial"/>
                <w:sz w:val="24"/>
              </w:rPr>
            </w:pPr>
            <w:r>
              <w:rPr>
                <w:rFonts w:ascii="Arial" w:hAnsi="Arial" w:cs="Arial"/>
                <w:sz w:val="24"/>
              </w:rPr>
              <w:t>Release of</w:t>
            </w:r>
            <w:r w:rsidRPr="0081229E">
              <w:rPr>
                <w:rFonts w:ascii="Arial" w:hAnsi="Arial" w:cs="Arial"/>
                <w:sz w:val="24"/>
              </w:rPr>
              <w:t xml:space="preserve"> reserves in connection with 17/18 de-delegation proposals</w:t>
            </w:r>
          </w:p>
        </w:tc>
        <w:tc>
          <w:tcPr>
            <w:tcW w:w="1366" w:type="dxa"/>
            <w:noWrap/>
            <w:hideMark/>
          </w:tcPr>
          <w:p w:rsidR="00C10705" w:rsidRPr="0081229E" w:rsidRDefault="00C10705" w:rsidP="0052529E">
            <w:pPr>
              <w:jc w:val="right"/>
              <w:rPr>
                <w:rFonts w:ascii="Arial" w:hAnsi="Arial" w:cs="Arial"/>
                <w:sz w:val="24"/>
              </w:rPr>
            </w:pPr>
            <w:r w:rsidRPr="0081229E">
              <w:rPr>
                <w:rFonts w:ascii="Arial" w:hAnsi="Arial" w:cs="Arial"/>
                <w:sz w:val="24"/>
              </w:rPr>
              <w:t xml:space="preserve">4.54 </w:t>
            </w:r>
          </w:p>
        </w:tc>
      </w:tr>
      <w:tr w:rsidR="00C10705" w:rsidRPr="00C10705" w:rsidTr="00C10705">
        <w:trPr>
          <w:trHeight w:val="285"/>
        </w:trPr>
        <w:tc>
          <w:tcPr>
            <w:tcW w:w="7650" w:type="dxa"/>
            <w:noWrap/>
          </w:tcPr>
          <w:p w:rsidR="00C10705" w:rsidRPr="0081229E" w:rsidRDefault="00C10705" w:rsidP="00C10705">
            <w:pPr>
              <w:jc w:val="both"/>
              <w:rPr>
                <w:rFonts w:cs="Arial"/>
              </w:rPr>
            </w:pPr>
            <w:r w:rsidRPr="00C10705">
              <w:rPr>
                <w:rFonts w:ascii="Arial" w:hAnsi="Arial" w:cs="Arial"/>
                <w:sz w:val="24"/>
              </w:rPr>
              <w:t>Total Income</w:t>
            </w:r>
            <w:r>
              <w:rPr>
                <w:rFonts w:ascii="Arial" w:hAnsi="Arial" w:cs="Arial"/>
                <w:sz w:val="24"/>
              </w:rPr>
              <w:t>2017/18</w:t>
            </w:r>
          </w:p>
        </w:tc>
        <w:tc>
          <w:tcPr>
            <w:tcW w:w="1366" w:type="dxa"/>
            <w:noWrap/>
          </w:tcPr>
          <w:p w:rsidR="00C10705" w:rsidRPr="00C10705" w:rsidRDefault="00C10705" w:rsidP="00C10705">
            <w:pPr>
              <w:jc w:val="right"/>
              <w:rPr>
                <w:rFonts w:ascii="Arial" w:hAnsi="Arial" w:cs="Arial"/>
                <w:sz w:val="24"/>
              </w:rPr>
            </w:pPr>
            <w:r w:rsidRPr="00C10705">
              <w:rPr>
                <w:rFonts w:ascii="Arial" w:hAnsi="Arial" w:cs="Arial"/>
                <w:sz w:val="24"/>
              </w:rPr>
              <w:t>886.36</w:t>
            </w:r>
          </w:p>
        </w:tc>
      </w:tr>
      <w:tr w:rsidR="0081229E" w:rsidRPr="0081229E" w:rsidTr="00C10705">
        <w:trPr>
          <w:trHeight w:val="285"/>
        </w:trPr>
        <w:tc>
          <w:tcPr>
            <w:tcW w:w="7650" w:type="dxa"/>
            <w:noWrap/>
            <w:hideMark/>
          </w:tcPr>
          <w:p w:rsidR="009625F4" w:rsidRPr="0081229E" w:rsidRDefault="009625F4" w:rsidP="00C10705">
            <w:pPr>
              <w:jc w:val="both"/>
              <w:rPr>
                <w:rFonts w:ascii="Arial" w:hAnsi="Arial" w:cs="Arial"/>
                <w:sz w:val="24"/>
              </w:rPr>
            </w:pPr>
            <w:r w:rsidRPr="0081229E">
              <w:rPr>
                <w:rFonts w:ascii="Arial" w:hAnsi="Arial" w:cs="Arial"/>
                <w:sz w:val="24"/>
              </w:rPr>
              <w:t>Total DSG Allocations 20</w:t>
            </w:r>
            <w:r w:rsidR="0005179E" w:rsidRPr="0081229E">
              <w:rPr>
                <w:rFonts w:ascii="Arial" w:hAnsi="Arial" w:cs="Arial"/>
                <w:sz w:val="24"/>
              </w:rPr>
              <w:t>17/18</w:t>
            </w:r>
          </w:p>
        </w:tc>
        <w:tc>
          <w:tcPr>
            <w:tcW w:w="1366" w:type="dxa"/>
            <w:noWrap/>
            <w:hideMark/>
          </w:tcPr>
          <w:p w:rsidR="009625F4" w:rsidRPr="0081229E" w:rsidRDefault="00873A1A" w:rsidP="000D0032">
            <w:pPr>
              <w:jc w:val="right"/>
              <w:rPr>
                <w:rFonts w:ascii="Arial" w:hAnsi="Arial" w:cs="Arial"/>
                <w:sz w:val="24"/>
              </w:rPr>
            </w:pPr>
            <w:r w:rsidRPr="0081229E">
              <w:rPr>
                <w:rFonts w:ascii="Arial" w:hAnsi="Arial" w:cs="Arial"/>
                <w:sz w:val="24"/>
              </w:rPr>
              <w:t>889.85</w:t>
            </w:r>
            <w:r w:rsidR="009625F4" w:rsidRPr="0081229E">
              <w:rPr>
                <w:rFonts w:ascii="Arial" w:hAnsi="Arial" w:cs="Arial"/>
                <w:sz w:val="24"/>
              </w:rPr>
              <w:t xml:space="preserve"> </w:t>
            </w:r>
          </w:p>
        </w:tc>
      </w:tr>
      <w:tr w:rsidR="0081229E" w:rsidRPr="0081229E" w:rsidTr="00C10705">
        <w:trPr>
          <w:trHeight w:val="480"/>
        </w:trPr>
        <w:tc>
          <w:tcPr>
            <w:tcW w:w="7650" w:type="dxa"/>
            <w:noWrap/>
            <w:hideMark/>
          </w:tcPr>
          <w:p w:rsidR="009625F4" w:rsidRPr="0081229E" w:rsidRDefault="009625F4" w:rsidP="000D0032">
            <w:pPr>
              <w:jc w:val="both"/>
              <w:rPr>
                <w:rFonts w:ascii="Arial" w:hAnsi="Arial" w:cs="Arial"/>
                <w:sz w:val="24"/>
              </w:rPr>
            </w:pPr>
          </w:p>
          <w:p w:rsidR="009625F4" w:rsidRPr="0081229E" w:rsidRDefault="009625F4" w:rsidP="000D0032">
            <w:pPr>
              <w:jc w:val="both"/>
              <w:rPr>
                <w:rFonts w:ascii="Arial" w:hAnsi="Arial" w:cs="Arial"/>
                <w:sz w:val="24"/>
              </w:rPr>
            </w:pPr>
            <w:r w:rsidRPr="0081229E">
              <w:rPr>
                <w:rFonts w:ascii="Arial" w:hAnsi="Arial" w:cs="Arial"/>
                <w:sz w:val="24"/>
              </w:rPr>
              <w:t>Surplus/(Shortfall) in funding</w:t>
            </w:r>
          </w:p>
        </w:tc>
        <w:tc>
          <w:tcPr>
            <w:tcW w:w="1366" w:type="dxa"/>
            <w:noWrap/>
            <w:hideMark/>
          </w:tcPr>
          <w:p w:rsidR="009625F4" w:rsidRPr="0081229E" w:rsidRDefault="009625F4" w:rsidP="000D0032">
            <w:pPr>
              <w:jc w:val="right"/>
              <w:rPr>
                <w:rFonts w:ascii="Arial" w:hAnsi="Arial" w:cs="Arial"/>
                <w:sz w:val="24"/>
              </w:rPr>
            </w:pPr>
          </w:p>
          <w:p w:rsidR="009625F4" w:rsidRPr="0081229E" w:rsidRDefault="009625F4" w:rsidP="00C10705">
            <w:pPr>
              <w:jc w:val="right"/>
              <w:rPr>
                <w:rFonts w:ascii="Arial" w:hAnsi="Arial" w:cs="Arial"/>
                <w:sz w:val="24"/>
              </w:rPr>
            </w:pPr>
            <w:r w:rsidRPr="0081229E">
              <w:rPr>
                <w:rFonts w:ascii="Arial" w:hAnsi="Arial" w:cs="Arial"/>
                <w:sz w:val="24"/>
              </w:rPr>
              <w:t>(</w:t>
            </w:r>
            <w:r w:rsidR="00C10705">
              <w:rPr>
                <w:rFonts w:ascii="Arial" w:hAnsi="Arial" w:cs="Arial"/>
                <w:sz w:val="24"/>
              </w:rPr>
              <w:t>3</w:t>
            </w:r>
            <w:r w:rsidR="00873A1A" w:rsidRPr="0081229E">
              <w:rPr>
                <w:rFonts w:ascii="Arial" w:hAnsi="Arial" w:cs="Arial"/>
                <w:sz w:val="24"/>
              </w:rPr>
              <w:t>.</w:t>
            </w:r>
            <w:r w:rsidR="00C10705">
              <w:rPr>
                <w:rFonts w:ascii="Arial" w:hAnsi="Arial" w:cs="Arial"/>
                <w:sz w:val="24"/>
              </w:rPr>
              <w:t>49</w:t>
            </w:r>
            <w:r w:rsidRPr="0081229E">
              <w:rPr>
                <w:rFonts w:ascii="Arial" w:hAnsi="Arial" w:cs="Arial"/>
                <w:sz w:val="24"/>
              </w:rPr>
              <w:t>)</w:t>
            </w:r>
          </w:p>
        </w:tc>
      </w:tr>
      <w:tr w:rsidR="0081229E" w:rsidRPr="0081229E" w:rsidTr="00C10705">
        <w:trPr>
          <w:trHeight w:val="285"/>
        </w:trPr>
        <w:tc>
          <w:tcPr>
            <w:tcW w:w="7650" w:type="dxa"/>
            <w:noWrap/>
            <w:hideMark/>
          </w:tcPr>
          <w:p w:rsidR="009625F4" w:rsidRPr="0081229E" w:rsidRDefault="009625F4" w:rsidP="000D0032">
            <w:pPr>
              <w:jc w:val="both"/>
              <w:rPr>
                <w:rFonts w:ascii="Arial" w:hAnsi="Arial" w:cs="Arial"/>
                <w:sz w:val="24"/>
              </w:rPr>
            </w:pPr>
          </w:p>
          <w:p w:rsidR="009625F4" w:rsidRPr="0081229E" w:rsidRDefault="0005179E" w:rsidP="0005179E">
            <w:pPr>
              <w:jc w:val="both"/>
              <w:rPr>
                <w:rFonts w:ascii="Arial" w:hAnsi="Arial" w:cs="Arial"/>
                <w:sz w:val="24"/>
              </w:rPr>
            </w:pPr>
            <w:r w:rsidRPr="0081229E">
              <w:rPr>
                <w:rFonts w:ascii="Arial" w:hAnsi="Arial" w:cs="Arial"/>
                <w:sz w:val="24"/>
              </w:rPr>
              <w:t>Release from</w:t>
            </w:r>
            <w:r w:rsidR="009625F4" w:rsidRPr="0081229E">
              <w:rPr>
                <w:rFonts w:ascii="Arial" w:hAnsi="Arial" w:cs="Arial"/>
                <w:sz w:val="24"/>
              </w:rPr>
              <w:t xml:space="preserve"> reserves to </w:t>
            </w:r>
            <w:r w:rsidRPr="0081229E">
              <w:rPr>
                <w:rFonts w:ascii="Arial" w:hAnsi="Arial" w:cs="Arial"/>
                <w:sz w:val="24"/>
              </w:rPr>
              <w:t>bridge funding gap</w:t>
            </w:r>
            <w:r w:rsidR="009625F4" w:rsidRPr="0081229E">
              <w:rPr>
                <w:rFonts w:ascii="Arial" w:hAnsi="Arial" w:cs="Arial"/>
                <w:sz w:val="24"/>
              </w:rPr>
              <w:t xml:space="preserve"> </w:t>
            </w:r>
          </w:p>
        </w:tc>
        <w:tc>
          <w:tcPr>
            <w:tcW w:w="1366" w:type="dxa"/>
            <w:noWrap/>
            <w:hideMark/>
          </w:tcPr>
          <w:p w:rsidR="009625F4" w:rsidRPr="0081229E" w:rsidRDefault="009625F4" w:rsidP="000D0032">
            <w:pPr>
              <w:jc w:val="right"/>
              <w:rPr>
                <w:rFonts w:ascii="Arial" w:hAnsi="Arial" w:cs="Arial"/>
                <w:sz w:val="24"/>
              </w:rPr>
            </w:pPr>
          </w:p>
          <w:p w:rsidR="009625F4" w:rsidRPr="0081229E" w:rsidRDefault="0005179E" w:rsidP="0005179E">
            <w:pPr>
              <w:jc w:val="right"/>
              <w:rPr>
                <w:rFonts w:ascii="Arial" w:hAnsi="Arial" w:cs="Arial"/>
                <w:sz w:val="24"/>
              </w:rPr>
            </w:pPr>
            <w:r w:rsidRPr="0081229E">
              <w:rPr>
                <w:rFonts w:ascii="Arial" w:hAnsi="Arial" w:cs="Arial"/>
                <w:sz w:val="24"/>
              </w:rPr>
              <w:t>3.49</w:t>
            </w:r>
            <w:r w:rsidR="009625F4" w:rsidRPr="0081229E">
              <w:rPr>
                <w:rFonts w:ascii="Arial" w:hAnsi="Arial" w:cs="Arial"/>
                <w:sz w:val="24"/>
              </w:rPr>
              <w:t xml:space="preserve"> </w:t>
            </w:r>
          </w:p>
        </w:tc>
      </w:tr>
    </w:tbl>
    <w:p w:rsidR="009625F4" w:rsidRPr="0081229E" w:rsidRDefault="009625F4" w:rsidP="00D924CC">
      <w:pPr>
        <w:pStyle w:val="ListParagraph"/>
        <w:ind w:left="0"/>
        <w:jc w:val="both"/>
        <w:rPr>
          <w:rFonts w:cs="Arial"/>
        </w:rPr>
      </w:pPr>
    </w:p>
    <w:p w:rsidR="00CC6D91" w:rsidRPr="0081229E" w:rsidRDefault="00CC6D91" w:rsidP="00D924CC">
      <w:pPr>
        <w:jc w:val="both"/>
        <w:rPr>
          <w:rFonts w:cs="Arial"/>
        </w:rPr>
      </w:pPr>
    </w:p>
    <w:p w:rsidR="004B7E1B" w:rsidRPr="00BE0760" w:rsidRDefault="0081229E" w:rsidP="004B7E1B">
      <w:pPr>
        <w:pStyle w:val="Header"/>
        <w:jc w:val="both"/>
        <w:rPr>
          <w:rFonts w:cs="Arial"/>
          <w:i/>
          <w:szCs w:val="24"/>
        </w:rPr>
      </w:pPr>
      <w:r w:rsidRPr="00BE0760">
        <w:rPr>
          <w:rFonts w:cs="Arial"/>
          <w:i/>
          <w:szCs w:val="24"/>
        </w:rPr>
        <w:t>Notes</w:t>
      </w:r>
    </w:p>
    <w:p w:rsidR="00BE0760" w:rsidRPr="0081229E" w:rsidRDefault="00BE0760" w:rsidP="004B7E1B">
      <w:pPr>
        <w:pStyle w:val="Header"/>
        <w:jc w:val="both"/>
        <w:rPr>
          <w:rFonts w:cs="Arial"/>
          <w:szCs w:val="24"/>
          <w:u w:val="single"/>
        </w:rPr>
      </w:pPr>
    </w:p>
    <w:p w:rsidR="0081229E" w:rsidRPr="0081229E" w:rsidRDefault="0081229E" w:rsidP="004B7E1B">
      <w:pPr>
        <w:pStyle w:val="Header"/>
        <w:jc w:val="both"/>
        <w:rPr>
          <w:rFonts w:cs="Arial"/>
          <w:szCs w:val="24"/>
        </w:rPr>
      </w:pPr>
      <w:r w:rsidRPr="0081229E">
        <w:rPr>
          <w:rFonts w:cs="Arial"/>
          <w:szCs w:val="24"/>
        </w:rPr>
        <w:t>£4.54m has been released from reserves in connection with the 2017/18 de-delegation proposals relating to 'deficits at closing schools</w:t>
      </w:r>
      <w:r w:rsidR="000C7597">
        <w:rPr>
          <w:rFonts w:cs="Arial"/>
          <w:szCs w:val="24"/>
        </w:rPr>
        <w:t>',</w:t>
      </w:r>
      <w:r w:rsidRPr="0081229E">
        <w:rPr>
          <w:rFonts w:cs="Arial"/>
          <w:szCs w:val="24"/>
        </w:rPr>
        <w:t xml:space="preserve"> which was approved by the Schools Forum in October 2016, following a consultation with schools.</w:t>
      </w:r>
    </w:p>
    <w:p w:rsidR="0081229E" w:rsidRPr="0081229E" w:rsidRDefault="0081229E" w:rsidP="004B7E1B">
      <w:pPr>
        <w:pStyle w:val="Header"/>
        <w:jc w:val="both"/>
        <w:rPr>
          <w:rFonts w:cs="Arial"/>
          <w:szCs w:val="24"/>
        </w:rPr>
      </w:pPr>
    </w:p>
    <w:p w:rsidR="0081229E" w:rsidRPr="0081229E" w:rsidRDefault="0081229E" w:rsidP="004B7E1B">
      <w:pPr>
        <w:pStyle w:val="Header"/>
        <w:jc w:val="both"/>
        <w:rPr>
          <w:rFonts w:cs="Arial"/>
          <w:szCs w:val="24"/>
        </w:rPr>
      </w:pPr>
      <w:r w:rsidRPr="0081229E">
        <w:rPr>
          <w:rFonts w:cs="Arial"/>
          <w:szCs w:val="24"/>
        </w:rPr>
        <w:t>A further release from reserves of £3.49m has been made to bridge the core 2017/18 funding gap.</w:t>
      </w:r>
    </w:p>
    <w:p w:rsidR="00745A51" w:rsidRDefault="00745A51" w:rsidP="00D924CC">
      <w:pPr>
        <w:jc w:val="both"/>
        <w:rPr>
          <w:rFonts w:cs="Arial"/>
        </w:rPr>
      </w:pPr>
    </w:p>
    <w:p w:rsidR="00115A23" w:rsidRPr="00115A23" w:rsidRDefault="00115A23" w:rsidP="00115A23">
      <w:pPr>
        <w:pStyle w:val="ListParagraph"/>
        <w:tabs>
          <w:tab w:val="left" w:pos="1635"/>
        </w:tabs>
        <w:ind w:left="0"/>
        <w:jc w:val="both"/>
        <w:rPr>
          <w:rFonts w:cs="Arial"/>
          <w:b/>
          <w:u w:val="single"/>
        </w:rPr>
      </w:pPr>
    </w:p>
    <w:p w:rsidR="00115A23" w:rsidRPr="00115A23" w:rsidRDefault="00115A23" w:rsidP="00115A23">
      <w:pPr>
        <w:pStyle w:val="ListParagraph"/>
        <w:tabs>
          <w:tab w:val="left" w:pos="1635"/>
        </w:tabs>
        <w:ind w:left="0"/>
        <w:jc w:val="both"/>
        <w:rPr>
          <w:rFonts w:cs="Arial"/>
          <w:b/>
          <w:u w:val="single"/>
        </w:rPr>
      </w:pPr>
      <w:r w:rsidRPr="00115A23">
        <w:rPr>
          <w:rFonts w:cs="Arial"/>
          <w:b/>
          <w:u w:val="single"/>
        </w:rPr>
        <w:t>Pupil Premium Grant</w:t>
      </w:r>
    </w:p>
    <w:p w:rsidR="00115A23" w:rsidRPr="00115A23" w:rsidRDefault="00115A23" w:rsidP="00115A23">
      <w:pPr>
        <w:pStyle w:val="ListParagraph"/>
        <w:tabs>
          <w:tab w:val="left" w:pos="1635"/>
        </w:tabs>
        <w:ind w:left="0"/>
        <w:jc w:val="both"/>
        <w:rPr>
          <w:rFonts w:cs="Arial"/>
        </w:rPr>
      </w:pPr>
      <w:r w:rsidRPr="00115A23">
        <w:rPr>
          <w:rFonts w:cs="Arial"/>
        </w:rPr>
        <w:t xml:space="preserve">The Pupil Premium Grant (PPG) is allocated in addition to the funding which is allocated through the Schools Budget.  It is to support disadvantaged pupils, who continue to underachieve compared with their peers. </w:t>
      </w:r>
    </w:p>
    <w:p w:rsidR="00115A23" w:rsidRPr="00115A23" w:rsidRDefault="00115A23" w:rsidP="00115A23">
      <w:pPr>
        <w:pStyle w:val="ListParagraph"/>
        <w:tabs>
          <w:tab w:val="left" w:pos="1635"/>
        </w:tabs>
        <w:ind w:left="0"/>
        <w:jc w:val="both"/>
        <w:rPr>
          <w:rFonts w:cs="Arial"/>
        </w:rPr>
      </w:pPr>
    </w:p>
    <w:p w:rsidR="00115A23" w:rsidRPr="00115A23" w:rsidRDefault="00115A23" w:rsidP="00115A23">
      <w:pPr>
        <w:pStyle w:val="ListParagraph"/>
        <w:tabs>
          <w:tab w:val="left" w:pos="1635"/>
        </w:tabs>
        <w:ind w:left="0"/>
        <w:jc w:val="both"/>
        <w:rPr>
          <w:rFonts w:cs="Arial"/>
        </w:rPr>
      </w:pPr>
      <w:r w:rsidRPr="00115A23">
        <w:rPr>
          <w:rFonts w:cs="Arial"/>
        </w:rPr>
        <w:t>The DfE have indicated that the funding rates for 2017/18 will be held at the 2016/17 level.</w:t>
      </w:r>
      <w:r>
        <w:rPr>
          <w:rFonts w:cs="Arial"/>
        </w:rPr>
        <w:t xml:space="preserve">  Details are provided below</w:t>
      </w:r>
    </w:p>
    <w:p w:rsidR="00115A23" w:rsidRPr="00115A23" w:rsidRDefault="00115A23" w:rsidP="00D924CC">
      <w:pPr>
        <w:jc w:val="both"/>
        <w:rPr>
          <w:rFonts w:cs="Arial"/>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50"/>
        <w:gridCol w:w="1366"/>
      </w:tblGrid>
      <w:tr w:rsidR="00115A23" w:rsidRPr="00745A51" w:rsidTr="00745A51">
        <w:trPr>
          <w:tblHeader/>
          <w:tblCellSpacing w:w="15" w:type="dxa"/>
        </w:trPr>
        <w:tc>
          <w:tcPr>
            <w:tcW w:w="7605" w:type="dxa"/>
            <w:vAlign w:val="center"/>
            <w:hideMark/>
          </w:tcPr>
          <w:p w:rsidR="00745A51" w:rsidRPr="00745A51" w:rsidRDefault="00745A51" w:rsidP="00745A51">
            <w:pPr>
              <w:jc w:val="center"/>
              <w:rPr>
                <w:rFonts w:cs="Arial"/>
                <w:b/>
                <w:bCs/>
              </w:rPr>
            </w:pPr>
            <w:r w:rsidRPr="00745A51">
              <w:rPr>
                <w:rFonts w:cs="Arial"/>
                <w:b/>
                <w:bCs/>
              </w:rPr>
              <w:t>Pupils</w:t>
            </w:r>
          </w:p>
        </w:tc>
        <w:tc>
          <w:tcPr>
            <w:tcW w:w="1321" w:type="dxa"/>
            <w:vAlign w:val="center"/>
            <w:hideMark/>
          </w:tcPr>
          <w:p w:rsidR="00745A51" w:rsidRPr="00745A51" w:rsidRDefault="00745A51" w:rsidP="00745A51">
            <w:pPr>
              <w:jc w:val="center"/>
              <w:rPr>
                <w:rFonts w:cs="Arial"/>
                <w:b/>
                <w:bCs/>
              </w:rPr>
            </w:pPr>
            <w:r w:rsidRPr="00745A51">
              <w:rPr>
                <w:rFonts w:cs="Arial"/>
                <w:b/>
                <w:bCs/>
              </w:rPr>
              <w:t>Per pupil rate</w:t>
            </w:r>
          </w:p>
        </w:tc>
      </w:tr>
      <w:tr w:rsidR="00115A23" w:rsidRPr="00745A51" w:rsidTr="00745A51">
        <w:trPr>
          <w:tblCellSpacing w:w="15" w:type="dxa"/>
        </w:trPr>
        <w:tc>
          <w:tcPr>
            <w:tcW w:w="7605" w:type="dxa"/>
            <w:vAlign w:val="center"/>
            <w:hideMark/>
          </w:tcPr>
          <w:p w:rsidR="00745A51" w:rsidRPr="00745A51" w:rsidRDefault="00745A51" w:rsidP="00745A51">
            <w:pPr>
              <w:rPr>
                <w:rFonts w:cs="Arial"/>
              </w:rPr>
            </w:pPr>
            <w:r w:rsidRPr="00745A51">
              <w:rPr>
                <w:rFonts w:cs="Arial"/>
              </w:rPr>
              <w:t>Disadvantaged pupils: primary</w:t>
            </w:r>
          </w:p>
        </w:tc>
        <w:tc>
          <w:tcPr>
            <w:tcW w:w="1321" w:type="dxa"/>
            <w:vAlign w:val="center"/>
            <w:hideMark/>
          </w:tcPr>
          <w:p w:rsidR="00745A51" w:rsidRPr="00745A51" w:rsidRDefault="00745A51" w:rsidP="00745A51">
            <w:pPr>
              <w:rPr>
                <w:rFonts w:cs="Arial"/>
              </w:rPr>
            </w:pPr>
            <w:r w:rsidRPr="00745A51">
              <w:rPr>
                <w:rFonts w:cs="Arial"/>
              </w:rPr>
              <w:t>£1,320</w:t>
            </w:r>
          </w:p>
        </w:tc>
      </w:tr>
      <w:tr w:rsidR="00115A23" w:rsidRPr="00745A51" w:rsidTr="00745A51">
        <w:trPr>
          <w:tblCellSpacing w:w="15" w:type="dxa"/>
        </w:trPr>
        <w:tc>
          <w:tcPr>
            <w:tcW w:w="7605" w:type="dxa"/>
            <w:vAlign w:val="center"/>
            <w:hideMark/>
          </w:tcPr>
          <w:p w:rsidR="00745A51" w:rsidRPr="00745A51" w:rsidRDefault="00745A51" w:rsidP="00745A51">
            <w:pPr>
              <w:rPr>
                <w:rFonts w:cs="Arial"/>
              </w:rPr>
            </w:pPr>
            <w:r w:rsidRPr="00745A51">
              <w:rPr>
                <w:rFonts w:cs="Arial"/>
              </w:rPr>
              <w:t>Disadvantaged pupils: secondary</w:t>
            </w:r>
          </w:p>
        </w:tc>
        <w:tc>
          <w:tcPr>
            <w:tcW w:w="1321" w:type="dxa"/>
            <w:vAlign w:val="center"/>
            <w:hideMark/>
          </w:tcPr>
          <w:p w:rsidR="00745A51" w:rsidRPr="00745A51" w:rsidRDefault="00745A51" w:rsidP="00745A51">
            <w:pPr>
              <w:rPr>
                <w:rFonts w:cs="Arial"/>
              </w:rPr>
            </w:pPr>
            <w:r w:rsidRPr="00745A51">
              <w:rPr>
                <w:rFonts w:cs="Arial"/>
              </w:rPr>
              <w:t>£935</w:t>
            </w:r>
          </w:p>
        </w:tc>
      </w:tr>
      <w:tr w:rsidR="00115A23" w:rsidRPr="00745A51" w:rsidTr="00745A51">
        <w:trPr>
          <w:tblCellSpacing w:w="15" w:type="dxa"/>
        </w:trPr>
        <w:tc>
          <w:tcPr>
            <w:tcW w:w="7605" w:type="dxa"/>
            <w:vAlign w:val="center"/>
            <w:hideMark/>
          </w:tcPr>
          <w:p w:rsidR="00745A51" w:rsidRPr="00745A51" w:rsidRDefault="00745A51" w:rsidP="00745A51">
            <w:pPr>
              <w:rPr>
                <w:rFonts w:cs="Arial"/>
              </w:rPr>
            </w:pPr>
            <w:r w:rsidRPr="00745A51">
              <w:rPr>
                <w:rFonts w:cs="Arial"/>
              </w:rPr>
              <w:t>Pupil premium plus: looked-after children (LAC) and those adopted from care or who leave care under a special guardianship order or child arrangements order (formally known as a residence order)</w:t>
            </w:r>
          </w:p>
        </w:tc>
        <w:tc>
          <w:tcPr>
            <w:tcW w:w="1321" w:type="dxa"/>
            <w:vAlign w:val="center"/>
            <w:hideMark/>
          </w:tcPr>
          <w:p w:rsidR="00745A51" w:rsidRPr="00745A51" w:rsidRDefault="00745A51" w:rsidP="00745A51">
            <w:pPr>
              <w:rPr>
                <w:rFonts w:cs="Arial"/>
              </w:rPr>
            </w:pPr>
            <w:r w:rsidRPr="00745A51">
              <w:rPr>
                <w:rFonts w:cs="Arial"/>
              </w:rPr>
              <w:t>£1,900</w:t>
            </w:r>
          </w:p>
        </w:tc>
      </w:tr>
      <w:tr w:rsidR="00115A23" w:rsidRPr="00745A51" w:rsidTr="00745A51">
        <w:trPr>
          <w:tblCellSpacing w:w="15" w:type="dxa"/>
        </w:trPr>
        <w:tc>
          <w:tcPr>
            <w:tcW w:w="7605" w:type="dxa"/>
            <w:vAlign w:val="center"/>
            <w:hideMark/>
          </w:tcPr>
          <w:p w:rsidR="00745A51" w:rsidRPr="00745A51" w:rsidRDefault="00745A51" w:rsidP="00745A51">
            <w:pPr>
              <w:rPr>
                <w:rFonts w:cs="Arial"/>
              </w:rPr>
            </w:pPr>
            <w:r w:rsidRPr="00745A51">
              <w:rPr>
                <w:rFonts w:cs="Arial"/>
              </w:rPr>
              <w:t>Service children</w:t>
            </w:r>
          </w:p>
        </w:tc>
        <w:tc>
          <w:tcPr>
            <w:tcW w:w="1321" w:type="dxa"/>
            <w:vAlign w:val="center"/>
            <w:hideMark/>
          </w:tcPr>
          <w:p w:rsidR="00745A51" w:rsidRPr="00745A51" w:rsidRDefault="00745A51" w:rsidP="00745A51">
            <w:pPr>
              <w:rPr>
                <w:rFonts w:cs="Arial"/>
              </w:rPr>
            </w:pPr>
            <w:r w:rsidRPr="00745A51">
              <w:rPr>
                <w:rFonts w:cs="Arial"/>
              </w:rPr>
              <w:t>£300</w:t>
            </w:r>
          </w:p>
        </w:tc>
      </w:tr>
    </w:tbl>
    <w:p w:rsidR="00745A51" w:rsidRPr="00115A23" w:rsidRDefault="00745A51" w:rsidP="00D924CC">
      <w:pPr>
        <w:jc w:val="both"/>
        <w:rPr>
          <w:rFonts w:cs="Arial"/>
          <w:b/>
        </w:rPr>
      </w:pPr>
    </w:p>
    <w:p w:rsidR="0031513A" w:rsidRPr="0031513A" w:rsidRDefault="0031513A" w:rsidP="00D924CC">
      <w:pPr>
        <w:jc w:val="both"/>
        <w:rPr>
          <w:rFonts w:cs="Arial"/>
          <w:highlight w:val="yellow"/>
        </w:rPr>
      </w:pPr>
    </w:p>
    <w:p w:rsidR="00042F96" w:rsidRPr="00C16EB8" w:rsidRDefault="00042F96" w:rsidP="00D924CC">
      <w:pPr>
        <w:jc w:val="both"/>
        <w:rPr>
          <w:rFonts w:cs="Arial"/>
        </w:rPr>
      </w:pPr>
    </w:p>
    <w:p w:rsidR="00EC03A9" w:rsidRDefault="00042F96" w:rsidP="00D924CC">
      <w:pPr>
        <w:jc w:val="both"/>
        <w:rPr>
          <w:rFonts w:cs="Arial"/>
        </w:rPr>
      </w:pPr>
      <w:r w:rsidRPr="00C16EB8">
        <w:rPr>
          <w:rFonts w:cs="Arial"/>
        </w:rPr>
        <w:t xml:space="preserve">Recommendations from the </w:t>
      </w:r>
      <w:r w:rsidR="003A73B3">
        <w:rPr>
          <w:rFonts w:cs="Arial"/>
        </w:rPr>
        <w:t xml:space="preserve">Schools </w:t>
      </w:r>
      <w:r w:rsidRPr="00C16EB8">
        <w:rPr>
          <w:rFonts w:cs="Arial"/>
        </w:rPr>
        <w:t>Forum will be tabled at the Cabinet Member Decision Making Session on 1</w:t>
      </w:r>
      <w:r w:rsidR="003703EB">
        <w:rPr>
          <w:rFonts w:cs="Arial"/>
        </w:rPr>
        <w:t>8</w:t>
      </w:r>
      <w:r w:rsidRPr="00C16EB8">
        <w:rPr>
          <w:rFonts w:cs="Arial"/>
        </w:rPr>
        <w:t xml:space="preserve"> January 201</w:t>
      </w:r>
      <w:r w:rsidR="003703EB">
        <w:rPr>
          <w:rFonts w:cs="Arial"/>
        </w:rPr>
        <w:t>7</w:t>
      </w:r>
      <w:r w:rsidRPr="00C16EB8">
        <w:rPr>
          <w:rFonts w:cs="Arial"/>
        </w:rPr>
        <w:t xml:space="preserve">, as Appendix </w:t>
      </w:r>
      <w:r w:rsidR="00592CF0">
        <w:rPr>
          <w:rFonts w:cs="Arial"/>
        </w:rPr>
        <w:t>'</w:t>
      </w:r>
      <w:r w:rsidRPr="00C16EB8">
        <w:rPr>
          <w:rFonts w:cs="Arial"/>
        </w:rPr>
        <w:t>B</w:t>
      </w:r>
      <w:r w:rsidR="00592CF0">
        <w:rPr>
          <w:rFonts w:cs="Arial"/>
        </w:rPr>
        <w:t>'</w:t>
      </w:r>
      <w:r w:rsidRPr="00C16EB8">
        <w:rPr>
          <w:rFonts w:cs="Arial"/>
        </w:rPr>
        <w:t>.</w:t>
      </w:r>
    </w:p>
    <w:sectPr w:rsidR="00EC03A9" w:rsidSect="00F56A2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FE4" w:rsidRDefault="005F7FE4" w:rsidP="00D924CC">
      <w:r>
        <w:separator/>
      </w:r>
    </w:p>
  </w:endnote>
  <w:endnote w:type="continuationSeparator" w:id="0">
    <w:p w:rsidR="005F7FE4" w:rsidRDefault="005F7FE4" w:rsidP="00D9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72" w:rsidRDefault="00071A72">
    <w:pPr>
      <w:pStyle w:val="Footer"/>
      <w:jc w:val="center"/>
    </w:pPr>
  </w:p>
  <w:p w:rsidR="00071A72" w:rsidRDefault="00071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FE4" w:rsidRDefault="005F7FE4" w:rsidP="00D924CC">
      <w:r>
        <w:separator/>
      </w:r>
    </w:p>
  </w:footnote>
  <w:footnote w:type="continuationSeparator" w:id="0">
    <w:p w:rsidR="005F7FE4" w:rsidRDefault="005F7FE4" w:rsidP="00D92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1D26"/>
    <w:multiLevelType w:val="hybridMultilevel"/>
    <w:tmpl w:val="C70CC3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556ED"/>
    <w:multiLevelType w:val="hybridMultilevel"/>
    <w:tmpl w:val="FA621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87CD2"/>
    <w:multiLevelType w:val="hybridMultilevel"/>
    <w:tmpl w:val="C49C1E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595462"/>
    <w:multiLevelType w:val="hybridMultilevel"/>
    <w:tmpl w:val="242E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308E6"/>
    <w:multiLevelType w:val="hybridMultilevel"/>
    <w:tmpl w:val="15DE2C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00249"/>
    <w:multiLevelType w:val="hybridMultilevel"/>
    <w:tmpl w:val="946A2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B13304"/>
    <w:multiLevelType w:val="hybridMultilevel"/>
    <w:tmpl w:val="A708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2299E"/>
    <w:multiLevelType w:val="hybridMultilevel"/>
    <w:tmpl w:val="D4041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72724"/>
    <w:multiLevelType w:val="hybridMultilevel"/>
    <w:tmpl w:val="2ECA4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21117"/>
    <w:multiLevelType w:val="hybridMultilevel"/>
    <w:tmpl w:val="39EEE4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D4FBF"/>
    <w:multiLevelType w:val="hybridMultilevel"/>
    <w:tmpl w:val="E5EADF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404084"/>
    <w:multiLevelType w:val="hybridMultilevel"/>
    <w:tmpl w:val="874299EC"/>
    <w:lvl w:ilvl="0" w:tplc="5348521A">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D63F90"/>
    <w:multiLevelType w:val="hybridMultilevel"/>
    <w:tmpl w:val="85768998"/>
    <w:lvl w:ilvl="0" w:tplc="0C1A86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F27060"/>
    <w:multiLevelType w:val="hybridMultilevel"/>
    <w:tmpl w:val="BF8AA38A"/>
    <w:lvl w:ilvl="0" w:tplc="8FB21FC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B63430"/>
    <w:multiLevelType w:val="hybridMultilevel"/>
    <w:tmpl w:val="CAE2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3069F"/>
    <w:multiLevelType w:val="hybridMultilevel"/>
    <w:tmpl w:val="87264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37438"/>
    <w:multiLevelType w:val="hybridMultilevel"/>
    <w:tmpl w:val="D174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812BEA"/>
    <w:multiLevelType w:val="hybridMultilevel"/>
    <w:tmpl w:val="F43E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F126F"/>
    <w:multiLevelType w:val="hybridMultilevel"/>
    <w:tmpl w:val="985EF0D2"/>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630DAA"/>
    <w:multiLevelType w:val="hybridMultilevel"/>
    <w:tmpl w:val="4CBAD74E"/>
    <w:lvl w:ilvl="0" w:tplc="66A8ADE8">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C746CC"/>
    <w:multiLevelType w:val="hybridMultilevel"/>
    <w:tmpl w:val="7D2CA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71379A"/>
    <w:multiLevelType w:val="hybridMultilevel"/>
    <w:tmpl w:val="8520C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F3685B"/>
    <w:multiLevelType w:val="hybridMultilevel"/>
    <w:tmpl w:val="2FD672B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D5270A"/>
    <w:multiLevelType w:val="hybridMultilevel"/>
    <w:tmpl w:val="BC9C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C57838"/>
    <w:multiLevelType w:val="hybridMultilevel"/>
    <w:tmpl w:val="B818F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2F6F44"/>
    <w:multiLevelType w:val="hybridMultilevel"/>
    <w:tmpl w:val="CAE6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66D4E"/>
    <w:multiLevelType w:val="hybridMultilevel"/>
    <w:tmpl w:val="3240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53744"/>
    <w:multiLevelType w:val="hybridMultilevel"/>
    <w:tmpl w:val="DC64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1169D"/>
    <w:multiLevelType w:val="hybridMultilevel"/>
    <w:tmpl w:val="7EB201A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9" w15:restartNumberingAfterBreak="0">
    <w:nsid w:val="5F452BC1"/>
    <w:multiLevelType w:val="hybridMultilevel"/>
    <w:tmpl w:val="97FE67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F8B3026"/>
    <w:multiLevelType w:val="hybridMultilevel"/>
    <w:tmpl w:val="DEC2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EE5549"/>
    <w:multiLevelType w:val="hybridMultilevel"/>
    <w:tmpl w:val="1222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9350EF"/>
    <w:multiLevelType w:val="hybridMultilevel"/>
    <w:tmpl w:val="543C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D29F2"/>
    <w:multiLevelType w:val="hybridMultilevel"/>
    <w:tmpl w:val="C82CFE90"/>
    <w:lvl w:ilvl="0" w:tplc="723A9D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E1649"/>
    <w:multiLevelType w:val="hybridMultilevel"/>
    <w:tmpl w:val="2EE4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8"/>
  </w:num>
  <w:num w:numId="4">
    <w:abstractNumId w:val="22"/>
  </w:num>
  <w:num w:numId="5">
    <w:abstractNumId w:val="2"/>
  </w:num>
  <w:num w:numId="6">
    <w:abstractNumId w:val="4"/>
  </w:num>
  <w:num w:numId="7">
    <w:abstractNumId w:val="7"/>
  </w:num>
  <w:num w:numId="8">
    <w:abstractNumId w:val="15"/>
  </w:num>
  <w:num w:numId="9">
    <w:abstractNumId w:val="34"/>
  </w:num>
  <w:num w:numId="10">
    <w:abstractNumId w:val="17"/>
  </w:num>
  <w:num w:numId="11">
    <w:abstractNumId w:val="12"/>
  </w:num>
  <w:num w:numId="12">
    <w:abstractNumId w:val="19"/>
  </w:num>
  <w:num w:numId="13">
    <w:abstractNumId w:val="11"/>
  </w:num>
  <w:num w:numId="14">
    <w:abstractNumId w:val="1"/>
  </w:num>
  <w:num w:numId="15">
    <w:abstractNumId w:val="3"/>
  </w:num>
  <w:num w:numId="16">
    <w:abstractNumId w:val="13"/>
  </w:num>
  <w:num w:numId="17">
    <w:abstractNumId w:val="0"/>
  </w:num>
  <w:num w:numId="18">
    <w:abstractNumId w:val="24"/>
  </w:num>
  <w:num w:numId="19">
    <w:abstractNumId w:val="30"/>
  </w:num>
  <w:num w:numId="20">
    <w:abstractNumId w:val="29"/>
  </w:num>
  <w:num w:numId="21">
    <w:abstractNumId w:val="26"/>
  </w:num>
  <w:num w:numId="22">
    <w:abstractNumId w:val="31"/>
  </w:num>
  <w:num w:numId="23">
    <w:abstractNumId w:val="9"/>
  </w:num>
  <w:num w:numId="24">
    <w:abstractNumId w:val="6"/>
  </w:num>
  <w:num w:numId="25">
    <w:abstractNumId w:val="33"/>
  </w:num>
  <w:num w:numId="26">
    <w:abstractNumId w:val="8"/>
  </w:num>
  <w:num w:numId="27">
    <w:abstractNumId w:val="25"/>
  </w:num>
  <w:num w:numId="28">
    <w:abstractNumId w:val="32"/>
  </w:num>
  <w:num w:numId="29">
    <w:abstractNumId w:val="27"/>
  </w:num>
  <w:num w:numId="30">
    <w:abstractNumId w:val="5"/>
  </w:num>
  <w:num w:numId="31">
    <w:abstractNumId w:val="14"/>
  </w:num>
  <w:num w:numId="32">
    <w:abstractNumId w:val="20"/>
  </w:num>
  <w:num w:numId="33">
    <w:abstractNumId w:val="16"/>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13"/>
    <w:rsid w:val="00007073"/>
    <w:rsid w:val="00014D4C"/>
    <w:rsid w:val="000233BE"/>
    <w:rsid w:val="0004036D"/>
    <w:rsid w:val="00042F96"/>
    <w:rsid w:val="00045E79"/>
    <w:rsid w:val="0005179E"/>
    <w:rsid w:val="00051DEC"/>
    <w:rsid w:val="000602F6"/>
    <w:rsid w:val="00061A63"/>
    <w:rsid w:val="000654B1"/>
    <w:rsid w:val="00067918"/>
    <w:rsid w:val="00071A72"/>
    <w:rsid w:val="00085CB5"/>
    <w:rsid w:val="000B1A6C"/>
    <w:rsid w:val="000B5CA0"/>
    <w:rsid w:val="000C1B5D"/>
    <w:rsid w:val="000C7597"/>
    <w:rsid w:val="000D0032"/>
    <w:rsid w:val="000E55F8"/>
    <w:rsid w:val="00115513"/>
    <w:rsid w:val="00115A23"/>
    <w:rsid w:val="00120462"/>
    <w:rsid w:val="00154C92"/>
    <w:rsid w:val="00164BFC"/>
    <w:rsid w:val="001670C3"/>
    <w:rsid w:val="0017119E"/>
    <w:rsid w:val="001A516B"/>
    <w:rsid w:val="001B02F7"/>
    <w:rsid w:val="001C099A"/>
    <w:rsid w:val="001C6807"/>
    <w:rsid w:val="001D2B84"/>
    <w:rsid w:val="001E2065"/>
    <w:rsid w:val="00215660"/>
    <w:rsid w:val="0024122D"/>
    <w:rsid w:val="00242508"/>
    <w:rsid w:val="002454B5"/>
    <w:rsid w:val="00257513"/>
    <w:rsid w:val="00264EB9"/>
    <w:rsid w:val="0026699B"/>
    <w:rsid w:val="00274FBA"/>
    <w:rsid w:val="002814F9"/>
    <w:rsid w:val="00284A48"/>
    <w:rsid w:val="00291200"/>
    <w:rsid w:val="002949E8"/>
    <w:rsid w:val="002C56A8"/>
    <w:rsid w:val="002E7684"/>
    <w:rsid w:val="002F5477"/>
    <w:rsid w:val="003075D7"/>
    <w:rsid w:val="0031513A"/>
    <w:rsid w:val="003154BB"/>
    <w:rsid w:val="00362E03"/>
    <w:rsid w:val="003703EB"/>
    <w:rsid w:val="003A73B3"/>
    <w:rsid w:val="003B041F"/>
    <w:rsid w:val="003D1074"/>
    <w:rsid w:val="004041A2"/>
    <w:rsid w:val="00410CF0"/>
    <w:rsid w:val="00410D47"/>
    <w:rsid w:val="0043648D"/>
    <w:rsid w:val="00462746"/>
    <w:rsid w:val="00473A6D"/>
    <w:rsid w:val="00486FAB"/>
    <w:rsid w:val="004B46BA"/>
    <w:rsid w:val="004B7BEE"/>
    <w:rsid w:val="004B7E1B"/>
    <w:rsid w:val="004C0042"/>
    <w:rsid w:val="004C5429"/>
    <w:rsid w:val="004E3FD2"/>
    <w:rsid w:val="004E6B87"/>
    <w:rsid w:val="00505AD8"/>
    <w:rsid w:val="005431A2"/>
    <w:rsid w:val="005461C1"/>
    <w:rsid w:val="00562171"/>
    <w:rsid w:val="00583B17"/>
    <w:rsid w:val="00592CF0"/>
    <w:rsid w:val="005B46EA"/>
    <w:rsid w:val="005D52FD"/>
    <w:rsid w:val="005E3D5F"/>
    <w:rsid w:val="005F7FE4"/>
    <w:rsid w:val="00603A46"/>
    <w:rsid w:val="00636FD1"/>
    <w:rsid w:val="0067022C"/>
    <w:rsid w:val="00670B14"/>
    <w:rsid w:val="006730B7"/>
    <w:rsid w:val="00673270"/>
    <w:rsid w:val="00681A0C"/>
    <w:rsid w:val="006B676B"/>
    <w:rsid w:val="006D74CB"/>
    <w:rsid w:val="006E7A64"/>
    <w:rsid w:val="006F182B"/>
    <w:rsid w:val="00706AB9"/>
    <w:rsid w:val="007104B7"/>
    <w:rsid w:val="00714E17"/>
    <w:rsid w:val="00731337"/>
    <w:rsid w:val="007441A8"/>
    <w:rsid w:val="00745A51"/>
    <w:rsid w:val="007637DB"/>
    <w:rsid w:val="007B1A7E"/>
    <w:rsid w:val="007B23E7"/>
    <w:rsid w:val="007C2128"/>
    <w:rsid w:val="007D1E05"/>
    <w:rsid w:val="007D1E66"/>
    <w:rsid w:val="007E3DBA"/>
    <w:rsid w:val="00804360"/>
    <w:rsid w:val="0081229E"/>
    <w:rsid w:val="00824BA3"/>
    <w:rsid w:val="00833C0F"/>
    <w:rsid w:val="00836B83"/>
    <w:rsid w:val="0085021C"/>
    <w:rsid w:val="00854ECC"/>
    <w:rsid w:val="00860460"/>
    <w:rsid w:val="00864286"/>
    <w:rsid w:val="00866267"/>
    <w:rsid w:val="00866BD7"/>
    <w:rsid w:val="00871C0F"/>
    <w:rsid w:val="00873A1A"/>
    <w:rsid w:val="00881275"/>
    <w:rsid w:val="008A2C70"/>
    <w:rsid w:val="008A37DC"/>
    <w:rsid w:val="008A45C2"/>
    <w:rsid w:val="008B250C"/>
    <w:rsid w:val="008B7021"/>
    <w:rsid w:val="008D10B9"/>
    <w:rsid w:val="008E6661"/>
    <w:rsid w:val="008E6B96"/>
    <w:rsid w:val="00917287"/>
    <w:rsid w:val="0092745F"/>
    <w:rsid w:val="0093450E"/>
    <w:rsid w:val="00940293"/>
    <w:rsid w:val="009562F4"/>
    <w:rsid w:val="009625F4"/>
    <w:rsid w:val="00997E5D"/>
    <w:rsid w:val="009A6CFA"/>
    <w:rsid w:val="009B5435"/>
    <w:rsid w:val="009F0648"/>
    <w:rsid w:val="009F4B52"/>
    <w:rsid w:val="009F59A6"/>
    <w:rsid w:val="00A24B47"/>
    <w:rsid w:val="00A30DE6"/>
    <w:rsid w:val="00A345EE"/>
    <w:rsid w:val="00A40675"/>
    <w:rsid w:val="00A577F2"/>
    <w:rsid w:val="00A66163"/>
    <w:rsid w:val="00AA77A1"/>
    <w:rsid w:val="00AD6C1E"/>
    <w:rsid w:val="00AF66CA"/>
    <w:rsid w:val="00B04217"/>
    <w:rsid w:val="00B14F29"/>
    <w:rsid w:val="00B3239E"/>
    <w:rsid w:val="00B40164"/>
    <w:rsid w:val="00B50C73"/>
    <w:rsid w:val="00B53BBF"/>
    <w:rsid w:val="00B84F25"/>
    <w:rsid w:val="00BC54D5"/>
    <w:rsid w:val="00BD2C2E"/>
    <w:rsid w:val="00BE0760"/>
    <w:rsid w:val="00BE7882"/>
    <w:rsid w:val="00BF0E67"/>
    <w:rsid w:val="00BF5755"/>
    <w:rsid w:val="00BF7EFB"/>
    <w:rsid w:val="00C10705"/>
    <w:rsid w:val="00C1396F"/>
    <w:rsid w:val="00C16EB8"/>
    <w:rsid w:val="00C23791"/>
    <w:rsid w:val="00C522EF"/>
    <w:rsid w:val="00C76C84"/>
    <w:rsid w:val="00C8478A"/>
    <w:rsid w:val="00C87ACC"/>
    <w:rsid w:val="00CA41F9"/>
    <w:rsid w:val="00CC6D91"/>
    <w:rsid w:val="00CC7373"/>
    <w:rsid w:val="00CD3109"/>
    <w:rsid w:val="00CF2CF3"/>
    <w:rsid w:val="00D03FA2"/>
    <w:rsid w:val="00D25AD0"/>
    <w:rsid w:val="00D406CC"/>
    <w:rsid w:val="00D566FB"/>
    <w:rsid w:val="00D70A14"/>
    <w:rsid w:val="00D70E6D"/>
    <w:rsid w:val="00D7488F"/>
    <w:rsid w:val="00D801F0"/>
    <w:rsid w:val="00D80ED6"/>
    <w:rsid w:val="00D81165"/>
    <w:rsid w:val="00D924CC"/>
    <w:rsid w:val="00DA79A7"/>
    <w:rsid w:val="00DB5CB5"/>
    <w:rsid w:val="00DB6125"/>
    <w:rsid w:val="00DB694B"/>
    <w:rsid w:val="00DE1C47"/>
    <w:rsid w:val="00DE68E7"/>
    <w:rsid w:val="00E0504B"/>
    <w:rsid w:val="00E21198"/>
    <w:rsid w:val="00E2290D"/>
    <w:rsid w:val="00E24245"/>
    <w:rsid w:val="00E37107"/>
    <w:rsid w:val="00E46999"/>
    <w:rsid w:val="00E537B5"/>
    <w:rsid w:val="00E84C4B"/>
    <w:rsid w:val="00EA11F4"/>
    <w:rsid w:val="00EA421D"/>
    <w:rsid w:val="00EB3192"/>
    <w:rsid w:val="00EB3423"/>
    <w:rsid w:val="00EB53E2"/>
    <w:rsid w:val="00EC03A9"/>
    <w:rsid w:val="00EC2DD0"/>
    <w:rsid w:val="00EC5ADD"/>
    <w:rsid w:val="00ED4D2D"/>
    <w:rsid w:val="00ED6987"/>
    <w:rsid w:val="00EF06DE"/>
    <w:rsid w:val="00EF0843"/>
    <w:rsid w:val="00EF126C"/>
    <w:rsid w:val="00F00194"/>
    <w:rsid w:val="00F11122"/>
    <w:rsid w:val="00F138B8"/>
    <w:rsid w:val="00F2593F"/>
    <w:rsid w:val="00F30CFA"/>
    <w:rsid w:val="00F566DF"/>
    <w:rsid w:val="00F56A27"/>
    <w:rsid w:val="00F60F85"/>
    <w:rsid w:val="00F611B5"/>
    <w:rsid w:val="00F62ABB"/>
    <w:rsid w:val="00F65013"/>
    <w:rsid w:val="00F76C5B"/>
    <w:rsid w:val="00F8194B"/>
    <w:rsid w:val="00F91B6F"/>
    <w:rsid w:val="00F95898"/>
    <w:rsid w:val="00FC18F5"/>
    <w:rsid w:val="00FE31F7"/>
    <w:rsid w:val="00FF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5050D-FF36-4EBA-9BA4-2A7EF9A8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05"/>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13"/>
    <w:pPr>
      <w:spacing w:after="0" w:line="240" w:lineRule="auto"/>
    </w:pPr>
    <w:rPr>
      <w:rFonts w:cs="Arial"/>
      <w:szCs w:val="24"/>
    </w:rPr>
  </w:style>
  <w:style w:type="paragraph" w:styleId="ListParagraph">
    <w:name w:val="List Paragraph"/>
    <w:basedOn w:val="Normal"/>
    <w:link w:val="ListParagraphChar"/>
    <w:uiPriority w:val="34"/>
    <w:qFormat/>
    <w:rsid w:val="00115513"/>
    <w:pPr>
      <w:ind w:left="720"/>
      <w:contextualSpacing/>
    </w:pPr>
  </w:style>
  <w:style w:type="table" w:styleId="TableGrid">
    <w:name w:val="Table Grid"/>
    <w:basedOn w:val="TableNormal"/>
    <w:uiPriority w:val="39"/>
    <w:rsid w:val="001155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15513"/>
    <w:rPr>
      <w:rFonts w:eastAsia="Times New Roman" w:cs="Times New Roman"/>
      <w:szCs w:val="24"/>
      <w:lang w:eastAsia="en-GB"/>
    </w:rPr>
  </w:style>
  <w:style w:type="paragraph" w:customStyle="1" w:styleId="default">
    <w:name w:val="default"/>
    <w:basedOn w:val="Normal"/>
    <w:rsid w:val="00215660"/>
    <w:pPr>
      <w:autoSpaceDE w:val="0"/>
      <w:autoSpaceDN w:val="0"/>
    </w:pPr>
    <w:rPr>
      <w:rFonts w:eastAsiaTheme="minorHAnsi" w:cs="Arial"/>
      <w:color w:val="000000"/>
    </w:rPr>
  </w:style>
  <w:style w:type="character" w:styleId="CommentReference">
    <w:name w:val="annotation reference"/>
    <w:basedOn w:val="DefaultParagraphFont"/>
    <w:uiPriority w:val="99"/>
    <w:semiHidden/>
    <w:unhideWhenUsed/>
    <w:rsid w:val="00CF2CF3"/>
    <w:rPr>
      <w:sz w:val="16"/>
      <w:szCs w:val="16"/>
    </w:rPr>
  </w:style>
  <w:style w:type="paragraph" w:styleId="CommentText">
    <w:name w:val="annotation text"/>
    <w:basedOn w:val="Normal"/>
    <w:link w:val="CommentTextChar"/>
    <w:uiPriority w:val="99"/>
    <w:semiHidden/>
    <w:unhideWhenUsed/>
    <w:rsid w:val="00CF2CF3"/>
    <w:rPr>
      <w:sz w:val="20"/>
      <w:szCs w:val="20"/>
    </w:rPr>
  </w:style>
  <w:style w:type="character" w:customStyle="1" w:styleId="CommentTextChar">
    <w:name w:val="Comment Text Char"/>
    <w:basedOn w:val="DefaultParagraphFont"/>
    <w:link w:val="CommentText"/>
    <w:uiPriority w:val="99"/>
    <w:semiHidden/>
    <w:rsid w:val="00CF2CF3"/>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2CF3"/>
    <w:rPr>
      <w:b/>
      <w:bCs/>
    </w:rPr>
  </w:style>
  <w:style w:type="character" w:customStyle="1" w:styleId="CommentSubjectChar">
    <w:name w:val="Comment Subject Char"/>
    <w:basedOn w:val="CommentTextChar"/>
    <w:link w:val="CommentSubject"/>
    <w:uiPriority w:val="99"/>
    <w:semiHidden/>
    <w:rsid w:val="00CF2CF3"/>
    <w:rPr>
      <w:rFonts w:eastAsia="Times New Roman" w:cs="Times New Roman"/>
      <w:b/>
      <w:bCs/>
      <w:sz w:val="20"/>
      <w:szCs w:val="20"/>
      <w:lang w:eastAsia="en-GB"/>
    </w:rPr>
  </w:style>
  <w:style w:type="paragraph" w:styleId="BalloonText">
    <w:name w:val="Balloon Text"/>
    <w:basedOn w:val="Normal"/>
    <w:link w:val="BalloonTextChar"/>
    <w:uiPriority w:val="99"/>
    <w:semiHidden/>
    <w:unhideWhenUsed/>
    <w:rsid w:val="00CF2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CF3"/>
    <w:rPr>
      <w:rFonts w:ascii="Segoe UI" w:eastAsia="Times New Roman" w:hAnsi="Segoe UI" w:cs="Segoe UI"/>
      <w:sz w:val="18"/>
      <w:szCs w:val="18"/>
      <w:lang w:eastAsia="en-GB"/>
    </w:rPr>
  </w:style>
  <w:style w:type="paragraph" w:styleId="Header">
    <w:name w:val="header"/>
    <w:basedOn w:val="Normal"/>
    <w:link w:val="HeaderChar"/>
    <w:uiPriority w:val="99"/>
    <w:rsid w:val="00EC03A9"/>
    <w:rPr>
      <w:szCs w:val="20"/>
    </w:rPr>
  </w:style>
  <w:style w:type="character" w:customStyle="1" w:styleId="HeaderChar">
    <w:name w:val="Header Char"/>
    <w:basedOn w:val="DefaultParagraphFont"/>
    <w:link w:val="Header"/>
    <w:uiPriority w:val="99"/>
    <w:rsid w:val="00EC03A9"/>
    <w:rPr>
      <w:rFonts w:eastAsia="Times New Roman" w:cs="Times New Roman"/>
      <w:szCs w:val="20"/>
      <w:lang w:eastAsia="en-GB"/>
    </w:rPr>
  </w:style>
  <w:style w:type="character" w:styleId="Strong">
    <w:name w:val="Strong"/>
    <w:basedOn w:val="DefaultParagraphFont"/>
    <w:uiPriority w:val="22"/>
    <w:qFormat/>
    <w:rsid w:val="00EC03A9"/>
    <w:rPr>
      <w:b/>
      <w:bCs/>
    </w:rPr>
  </w:style>
  <w:style w:type="paragraph" w:customStyle="1" w:styleId="Default0">
    <w:name w:val="Default"/>
    <w:rsid w:val="00917287"/>
    <w:pPr>
      <w:autoSpaceDE w:val="0"/>
      <w:autoSpaceDN w:val="0"/>
      <w:adjustRightInd w:val="0"/>
      <w:spacing w:after="0" w:line="240" w:lineRule="auto"/>
    </w:pPr>
    <w:rPr>
      <w:rFonts w:cs="Arial"/>
      <w:color w:val="000000"/>
      <w:szCs w:val="24"/>
    </w:rPr>
  </w:style>
  <w:style w:type="paragraph" w:styleId="Footer">
    <w:name w:val="footer"/>
    <w:basedOn w:val="Normal"/>
    <w:link w:val="FooterChar"/>
    <w:uiPriority w:val="99"/>
    <w:unhideWhenUsed/>
    <w:rsid w:val="00D924CC"/>
    <w:pPr>
      <w:tabs>
        <w:tab w:val="center" w:pos="4513"/>
        <w:tab w:val="right" w:pos="9026"/>
      </w:tabs>
    </w:pPr>
  </w:style>
  <w:style w:type="character" w:customStyle="1" w:styleId="FooterChar">
    <w:name w:val="Footer Char"/>
    <w:basedOn w:val="DefaultParagraphFont"/>
    <w:link w:val="Footer"/>
    <w:uiPriority w:val="99"/>
    <w:rsid w:val="00D924CC"/>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5977">
      <w:bodyDiv w:val="1"/>
      <w:marLeft w:val="0"/>
      <w:marRight w:val="0"/>
      <w:marTop w:val="0"/>
      <w:marBottom w:val="0"/>
      <w:divBdr>
        <w:top w:val="none" w:sz="0" w:space="0" w:color="auto"/>
        <w:left w:val="none" w:sz="0" w:space="0" w:color="auto"/>
        <w:bottom w:val="none" w:sz="0" w:space="0" w:color="auto"/>
        <w:right w:val="none" w:sz="0" w:space="0" w:color="auto"/>
      </w:divBdr>
    </w:div>
    <w:div w:id="50160064">
      <w:bodyDiv w:val="1"/>
      <w:marLeft w:val="0"/>
      <w:marRight w:val="0"/>
      <w:marTop w:val="0"/>
      <w:marBottom w:val="0"/>
      <w:divBdr>
        <w:top w:val="none" w:sz="0" w:space="0" w:color="auto"/>
        <w:left w:val="none" w:sz="0" w:space="0" w:color="auto"/>
        <w:bottom w:val="none" w:sz="0" w:space="0" w:color="auto"/>
        <w:right w:val="none" w:sz="0" w:space="0" w:color="auto"/>
      </w:divBdr>
    </w:div>
    <w:div w:id="111288656">
      <w:bodyDiv w:val="1"/>
      <w:marLeft w:val="0"/>
      <w:marRight w:val="0"/>
      <w:marTop w:val="0"/>
      <w:marBottom w:val="0"/>
      <w:divBdr>
        <w:top w:val="none" w:sz="0" w:space="0" w:color="auto"/>
        <w:left w:val="none" w:sz="0" w:space="0" w:color="auto"/>
        <w:bottom w:val="none" w:sz="0" w:space="0" w:color="auto"/>
        <w:right w:val="none" w:sz="0" w:space="0" w:color="auto"/>
      </w:divBdr>
    </w:div>
    <w:div w:id="148059424">
      <w:bodyDiv w:val="1"/>
      <w:marLeft w:val="0"/>
      <w:marRight w:val="0"/>
      <w:marTop w:val="0"/>
      <w:marBottom w:val="0"/>
      <w:divBdr>
        <w:top w:val="none" w:sz="0" w:space="0" w:color="auto"/>
        <w:left w:val="none" w:sz="0" w:space="0" w:color="auto"/>
        <w:bottom w:val="none" w:sz="0" w:space="0" w:color="auto"/>
        <w:right w:val="none" w:sz="0" w:space="0" w:color="auto"/>
      </w:divBdr>
    </w:div>
    <w:div w:id="160972017">
      <w:bodyDiv w:val="1"/>
      <w:marLeft w:val="0"/>
      <w:marRight w:val="0"/>
      <w:marTop w:val="0"/>
      <w:marBottom w:val="0"/>
      <w:divBdr>
        <w:top w:val="none" w:sz="0" w:space="0" w:color="auto"/>
        <w:left w:val="none" w:sz="0" w:space="0" w:color="auto"/>
        <w:bottom w:val="none" w:sz="0" w:space="0" w:color="auto"/>
        <w:right w:val="none" w:sz="0" w:space="0" w:color="auto"/>
      </w:divBdr>
    </w:div>
    <w:div w:id="176161686">
      <w:bodyDiv w:val="1"/>
      <w:marLeft w:val="0"/>
      <w:marRight w:val="0"/>
      <w:marTop w:val="0"/>
      <w:marBottom w:val="0"/>
      <w:divBdr>
        <w:top w:val="none" w:sz="0" w:space="0" w:color="auto"/>
        <w:left w:val="none" w:sz="0" w:space="0" w:color="auto"/>
        <w:bottom w:val="none" w:sz="0" w:space="0" w:color="auto"/>
        <w:right w:val="none" w:sz="0" w:space="0" w:color="auto"/>
      </w:divBdr>
    </w:div>
    <w:div w:id="348146989">
      <w:bodyDiv w:val="1"/>
      <w:marLeft w:val="0"/>
      <w:marRight w:val="0"/>
      <w:marTop w:val="0"/>
      <w:marBottom w:val="0"/>
      <w:divBdr>
        <w:top w:val="none" w:sz="0" w:space="0" w:color="auto"/>
        <w:left w:val="none" w:sz="0" w:space="0" w:color="auto"/>
        <w:bottom w:val="none" w:sz="0" w:space="0" w:color="auto"/>
        <w:right w:val="none" w:sz="0" w:space="0" w:color="auto"/>
      </w:divBdr>
    </w:div>
    <w:div w:id="360980655">
      <w:bodyDiv w:val="1"/>
      <w:marLeft w:val="0"/>
      <w:marRight w:val="0"/>
      <w:marTop w:val="0"/>
      <w:marBottom w:val="0"/>
      <w:divBdr>
        <w:top w:val="none" w:sz="0" w:space="0" w:color="auto"/>
        <w:left w:val="none" w:sz="0" w:space="0" w:color="auto"/>
        <w:bottom w:val="none" w:sz="0" w:space="0" w:color="auto"/>
        <w:right w:val="none" w:sz="0" w:space="0" w:color="auto"/>
      </w:divBdr>
    </w:div>
    <w:div w:id="437261221">
      <w:bodyDiv w:val="1"/>
      <w:marLeft w:val="0"/>
      <w:marRight w:val="0"/>
      <w:marTop w:val="0"/>
      <w:marBottom w:val="0"/>
      <w:divBdr>
        <w:top w:val="none" w:sz="0" w:space="0" w:color="auto"/>
        <w:left w:val="none" w:sz="0" w:space="0" w:color="auto"/>
        <w:bottom w:val="none" w:sz="0" w:space="0" w:color="auto"/>
        <w:right w:val="none" w:sz="0" w:space="0" w:color="auto"/>
      </w:divBdr>
    </w:div>
    <w:div w:id="463697520">
      <w:bodyDiv w:val="1"/>
      <w:marLeft w:val="0"/>
      <w:marRight w:val="0"/>
      <w:marTop w:val="0"/>
      <w:marBottom w:val="0"/>
      <w:divBdr>
        <w:top w:val="none" w:sz="0" w:space="0" w:color="auto"/>
        <w:left w:val="none" w:sz="0" w:space="0" w:color="auto"/>
        <w:bottom w:val="none" w:sz="0" w:space="0" w:color="auto"/>
        <w:right w:val="none" w:sz="0" w:space="0" w:color="auto"/>
      </w:divBdr>
    </w:div>
    <w:div w:id="586304049">
      <w:bodyDiv w:val="1"/>
      <w:marLeft w:val="0"/>
      <w:marRight w:val="0"/>
      <w:marTop w:val="0"/>
      <w:marBottom w:val="0"/>
      <w:divBdr>
        <w:top w:val="none" w:sz="0" w:space="0" w:color="auto"/>
        <w:left w:val="none" w:sz="0" w:space="0" w:color="auto"/>
        <w:bottom w:val="none" w:sz="0" w:space="0" w:color="auto"/>
        <w:right w:val="none" w:sz="0" w:space="0" w:color="auto"/>
      </w:divBdr>
    </w:div>
    <w:div w:id="807164147">
      <w:bodyDiv w:val="1"/>
      <w:marLeft w:val="0"/>
      <w:marRight w:val="0"/>
      <w:marTop w:val="0"/>
      <w:marBottom w:val="0"/>
      <w:divBdr>
        <w:top w:val="none" w:sz="0" w:space="0" w:color="auto"/>
        <w:left w:val="none" w:sz="0" w:space="0" w:color="auto"/>
        <w:bottom w:val="none" w:sz="0" w:space="0" w:color="auto"/>
        <w:right w:val="none" w:sz="0" w:space="0" w:color="auto"/>
      </w:divBdr>
    </w:div>
    <w:div w:id="864713392">
      <w:bodyDiv w:val="1"/>
      <w:marLeft w:val="0"/>
      <w:marRight w:val="0"/>
      <w:marTop w:val="0"/>
      <w:marBottom w:val="0"/>
      <w:divBdr>
        <w:top w:val="none" w:sz="0" w:space="0" w:color="auto"/>
        <w:left w:val="none" w:sz="0" w:space="0" w:color="auto"/>
        <w:bottom w:val="none" w:sz="0" w:space="0" w:color="auto"/>
        <w:right w:val="none" w:sz="0" w:space="0" w:color="auto"/>
      </w:divBdr>
    </w:div>
    <w:div w:id="918977948">
      <w:bodyDiv w:val="1"/>
      <w:marLeft w:val="0"/>
      <w:marRight w:val="0"/>
      <w:marTop w:val="0"/>
      <w:marBottom w:val="0"/>
      <w:divBdr>
        <w:top w:val="none" w:sz="0" w:space="0" w:color="auto"/>
        <w:left w:val="none" w:sz="0" w:space="0" w:color="auto"/>
        <w:bottom w:val="none" w:sz="0" w:space="0" w:color="auto"/>
        <w:right w:val="none" w:sz="0" w:space="0" w:color="auto"/>
      </w:divBdr>
    </w:div>
    <w:div w:id="921185960">
      <w:bodyDiv w:val="1"/>
      <w:marLeft w:val="0"/>
      <w:marRight w:val="0"/>
      <w:marTop w:val="0"/>
      <w:marBottom w:val="0"/>
      <w:divBdr>
        <w:top w:val="none" w:sz="0" w:space="0" w:color="auto"/>
        <w:left w:val="none" w:sz="0" w:space="0" w:color="auto"/>
        <w:bottom w:val="none" w:sz="0" w:space="0" w:color="auto"/>
        <w:right w:val="none" w:sz="0" w:space="0" w:color="auto"/>
      </w:divBdr>
    </w:div>
    <w:div w:id="970600612">
      <w:bodyDiv w:val="1"/>
      <w:marLeft w:val="0"/>
      <w:marRight w:val="0"/>
      <w:marTop w:val="0"/>
      <w:marBottom w:val="0"/>
      <w:divBdr>
        <w:top w:val="none" w:sz="0" w:space="0" w:color="auto"/>
        <w:left w:val="none" w:sz="0" w:space="0" w:color="auto"/>
        <w:bottom w:val="none" w:sz="0" w:space="0" w:color="auto"/>
        <w:right w:val="none" w:sz="0" w:space="0" w:color="auto"/>
      </w:divBdr>
    </w:div>
    <w:div w:id="1016729371">
      <w:bodyDiv w:val="1"/>
      <w:marLeft w:val="0"/>
      <w:marRight w:val="0"/>
      <w:marTop w:val="0"/>
      <w:marBottom w:val="0"/>
      <w:divBdr>
        <w:top w:val="none" w:sz="0" w:space="0" w:color="auto"/>
        <w:left w:val="none" w:sz="0" w:space="0" w:color="auto"/>
        <w:bottom w:val="none" w:sz="0" w:space="0" w:color="auto"/>
        <w:right w:val="none" w:sz="0" w:space="0" w:color="auto"/>
      </w:divBdr>
    </w:div>
    <w:div w:id="1029254676">
      <w:bodyDiv w:val="1"/>
      <w:marLeft w:val="0"/>
      <w:marRight w:val="0"/>
      <w:marTop w:val="0"/>
      <w:marBottom w:val="0"/>
      <w:divBdr>
        <w:top w:val="none" w:sz="0" w:space="0" w:color="auto"/>
        <w:left w:val="none" w:sz="0" w:space="0" w:color="auto"/>
        <w:bottom w:val="none" w:sz="0" w:space="0" w:color="auto"/>
        <w:right w:val="none" w:sz="0" w:space="0" w:color="auto"/>
      </w:divBdr>
    </w:div>
    <w:div w:id="1070033827">
      <w:bodyDiv w:val="1"/>
      <w:marLeft w:val="0"/>
      <w:marRight w:val="0"/>
      <w:marTop w:val="0"/>
      <w:marBottom w:val="0"/>
      <w:divBdr>
        <w:top w:val="none" w:sz="0" w:space="0" w:color="auto"/>
        <w:left w:val="none" w:sz="0" w:space="0" w:color="auto"/>
        <w:bottom w:val="none" w:sz="0" w:space="0" w:color="auto"/>
        <w:right w:val="none" w:sz="0" w:space="0" w:color="auto"/>
      </w:divBdr>
    </w:div>
    <w:div w:id="1172261909">
      <w:bodyDiv w:val="1"/>
      <w:marLeft w:val="0"/>
      <w:marRight w:val="0"/>
      <w:marTop w:val="0"/>
      <w:marBottom w:val="0"/>
      <w:divBdr>
        <w:top w:val="none" w:sz="0" w:space="0" w:color="auto"/>
        <w:left w:val="none" w:sz="0" w:space="0" w:color="auto"/>
        <w:bottom w:val="none" w:sz="0" w:space="0" w:color="auto"/>
        <w:right w:val="none" w:sz="0" w:space="0" w:color="auto"/>
      </w:divBdr>
    </w:div>
    <w:div w:id="1427652712">
      <w:bodyDiv w:val="1"/>
      <w:marLeft w:val="0"/>
      <w:marRight w:val="0"/>
      <w:marTop w:val="0"/>
      <w:marBottom w:val="0"/>
      <w:divBdr>
        <w:top w:val="none" w:sz="0" w:space="0" w:color="auto"/>
        <w:left w:val="none" w:sz="0" w:space="0" w:color="auto"/>
        <w:bottom w:val="none" w:sz="0" w:space="0" w:color="auto"/>
        <w:right w:val="none" w:sz="0" w:space="0" w:color="auto"/>
      </w:divBdr>
    </w:div>
    <w:div w:id="1482580432">
      <w:bodyDiv w:val="1"/>
      <w:marLeft w:val="0"/>
      <w:marRight w:val="0"/>
      <w:marTop w:val="0"/>
      <w:marBottom w:val="0"/>
      <w:divBdr>
        <w:top w:val="none" w:sz="0" w:space="0" w:color="auto"/>
        <w:left w:val="none" w:sz="0" w:space="0" w:color="auto"/>
        <w:bottom w:val="none" w:sz="0" w:space="0" w:color="auto"/>
        <w:right w:val="none" w:sz="0" w:space="0" w:color="auto"/>
      </w:divBdr>
    </w:div>
    <w:div w:id="1508641166">
      <w:bodyDiv w:val="1"/>
      <w:marLeft w:val="0"/>
      <w:marRight w:val="0"/>
      <w:marTop w:val="0"/>
      <w:marBottom w:val="0"/>
      <w:divBdr>
        <w:top w:val="none" w:sz="0" w:space="0" w:color="auto"/>
        <w:left w:val="none" w:sz="0" w:space="0" w:color="auto"/>
        <w:bottom w:val="none" w:sz="0" w:space="0" w:color="auto"/>
        <w:right w:val="none" w:sz="0" w:space="0" w:color="auto"/>
      </w:divBdr>
    </w:div>
    <w:div w:id="1596741742">
      <w:bodyDiv w:val="1"/>
      <w:marLeft w:val="0"/>
      <w:marRight w:val="0"/>
      <w:marTop w:val="0"/>
      <w:marBottom w:val="0"/>
      <w:divBdr>
        <w:top w:val="none" w:sz="0" w:space="0" w:color="auto"/>
        <w:left w:val="none" w:sz="0" w:space="0" w:color="auto"/>
        <w:bottom w:val="none" w:sz="0" w:space="0" w:color="auto"/>
        <w:right w:val="none" w:sz="0" w:space="0" w:color="auto"/>
      </w:divBdr>
    </w:div>
    <w:div w:id="1620916850">
      <w:bodyDiv w:val="1"/>
      <w:marLeft w:val="0"/>
      <w:marRight w:val="0"/>
      <w:marTop w:val="0"/>
      <w:marBottom w:val="0"/>
      <w:divBdr>
        <w:top w:val="none" w:sz="0" w:space="0" w:color="auto"/>
        <w:left w:val="none" w:sz="0" w:space="0" w:color="auto"/>
        <w:bottom w:val="none" w:sz="0" w:space="0" w:color="auto"/>
        <w:right w:val="none" w:sz="0" w:space="0" w:color="auto"/>
      </w:divBdr>
    </w:div>
    <w:div w:id="1674527345">
      <w:bodyDiv w:val="1"/>
      <w:marLeft w:val="0"/>
      <w:marRight w:val="0"/>
      <w:marTop w:val="0"/>
      <w:marBottom w:val="0"/>
      <w:divBdr>
        <w:top w:val="none" w:sz="0" w:space="0" w:color="auto"/>
        <w:left w:val="none" w:sz="0" w:space="0" w:color="auto"/>
        <w:bottom w:val="none" w:sz="0" w:space="0" w:color="auto"/>
        <w:right w:val="none" w:sz="0" w:space="0" w:color="auto"/>
      </w:divBdr>
    </w:div>
    <w:div w:id="1742554202">
      <w:bodyDiv w:val="1"/>
      <w:marLeft w:val="0"/>
      <w:marRight w:val="0"/>
      <w:marTop w:val="0"/>
      <w:marBottom w:val="0"/>
      <w:divBdr>
        <w:top w:val="none" w:sz="0" w:space="0" w:color="auto"/>
        <w:left w:val="none" w:sz="0" w:space="0" w:color="auto"/>
        <w:bottom w:val="none" w:sz="0" w:space="0" w:color="auto"/>
        <w:right w:val="none" w:sz="0" w:space="0" w:color="auto"/>
      </w:divBdr>
    </w:div>
    <w:div w:id="1863667693">
      <w:bodyDiv w:val="1"/>
      <w:marLeft w:val="0"/>
      <w:marRight w:val="0"/>
      <w:marTop w:val="0"/>
      <w:marBottom w:val="0"/>
      <w:divBdr>
        <w:top w:val="none" w:sz="0" w:space="0" w:color="auto"/>
        <w:left w:val="none" w:sz="0" w:space="0" w:color="auto"/>
        <w:bottom w:val="none" w:sz="0" w:space="0" w:color="auto"/>
        <w:right w:val="none" w:sz="0" w:space="0" w:color="auto"/>
      </w:divBdr>
    </w:div>
    <w:div w:id="1870530866">
      <w:bodyDiv w:val="1"/>
      <w:marLeft w:val="0"/>
      <w:marRight w:val="0"/>
      <w:marTop w:val="0"/>
      <w:marBottom w:val="0"/>
      <w:divBdr>
        <w:top w:val="none" w:sz="0" w:space="0" w:color="auto"/>
        <w:left w:val="none" w:sz="0" w:space="0" w:color="auto"/>
        <w:bottom w:val="none" w:sz="0" w:space="0" w:color="auto"/>
        <w:right w:val="none" w:sz="0" w:space="0" w:color="auto"/>
      </w:divBdr>
      <w:divsChild>
        <w:div w:id="116417152">
          <w:marLeft w:val="0"/>
          <w:marRight w:val="0"/>
          <w:marTop w:val="0"/>
          <w:marBottom w:val="0"/>
          <w:divBdr>
            <w:top w:val="none" w:sz="0" w:space="0" w:color="auto"/>
            <w:left w:val="none" w:sz="0" w:space="0" w:color="auto"/>
            <w:bottom w:val="none" w:sz="0" w:space="0" w:color="auto"/>
            <w:right w:val="none" w:sz="0" w:space="0" w:color="auto"/>
          </w:divBdr>
          <w:divsChild>
            <w:div w:id="1889028325">
              <w:marLeft w:val="0"/>
              <w:marRight w:val="0"/>
              <w:marTop w:val="0"/>
              <w:marBottom w:val="0"/>
              <w:divBdr>
                <w:top w:val="none" w:sz="0" w:space="0" w:color="auto"/>
                <w:left w:val="none" w:sz="0" w:space="0" w:color="auto"/>
                <w:bottom w:val="none" w:sz="0" w:space="0" w:color="auto"/>
                <w:right w:val="none" w:sz="0" w:space="0" w:color="auto"/>
              </w:divBdr>
              <w:divsChild>
                <w:div w:id="273051255">
                  <w:marLeft w:val="0"/>
                  <w:marRight w:val="0"/>
                  <w:marTop w:val="0"/>
                  <w:marBottom w:val="0"/>
                  <w:divBdr>
                    <w:top w:val="none" w:sz="0" w:space="0" w:color="auto"/>
                    <w:left w:val="none" w:sz="0" w:space="0" w:color="auto"/>
                    <w:bottom w:val="none" w:sz="0" w:space="0" w:color="auto"/>
                    <w:right w:val="none" w:sz="0" w:space="0" w:color="auto"/>
                  </w:divBdr>
                  <w:divsChild>
                    <w:div w:id="1753703254">
                      <w:marLeft w:val="0"/>
                      <w:marRight w:val="0"/>
                      <w:marTop w:val="0"/>
                      <w:marBottom w:val="0"/>
                      <w:divBdr>
                        <w:top w:val="none" w:sz="0" w:space="0" w:color="auto"/>
                        <w:left w:val="none" w:sz="0" w:space="0" w:color="auto"/>
                        <w:bottom w:val="none" w:sz="0" w:space="0" w:color="auto"/>
                        <w:right w:val="none" w:sz="0" w:space="0" w:color="auto"/>
                      </w:divBdr>
                      <w:divsChild>
                        <w:div w:id="478618562">
                          <w:marLeft w:val="0"/>
                          <w:marRight w:val="0"/>
                          <w:marTop w:val="0"/>
                          <w:marBottom w:val="0"/>
                          <w:divBdr>
                            <w:top w:val="none" w:sz="0" w:space="0" w:color="auto"/>
                            <w:left w:val="none" w:sz="0" w:space="0" w:color="auto"/>
                            <w:bottom w:val="none" w:sz="0" w:space="0" w:color="auto"/>
                            <w:right w:val="none" w:sz="0" w:space="0" w:color="auto"/>
                          </w:divBdr>
                          <w:divsChild>
                            <w:div w:id="7966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6673">
      <w:bodyDiv w:val="1"/>
      <w:marLeft w:val="0"/>
      <w:marRight w:val="0"/>
      <w:marTop w:val="0"/>
      <w:marBottom w:val="0"/>
      <w:divBdr>
        <w:top w:val="none" w:sz="0" w:space="0" w:color="auto"/>
        <w:left w:val="none" w:sz="0" w:space="0" w:color="auto"/>
        <w:bottom w:val="none" w:sz="0" w:space="0" w:color="auto"/>
        <w:right w:val="none" w:sz="0" w:space="0" w:color="auto"/>
      </w:divBdr>
    </w:div>
    <w:div w:id="2004888054">
      <w:bodyDiv w:val="1"/>
      <w:marLeft w:val="0"/>
      <w:marRight w:val="0"/>
      <w:marTop w:val="0"/>
      <w:marBottom w:val="0"/>
      <w:divBdr>
        <w:top w:val="none" w:sz="0" w:space="0" w:color="auto"/>
        <w:left w:val="none" w:sz="0" w:space="0" w:color="auto"/>
        <w:bottom w:val="none" w:sz="0" w:space="0" w:color="auto"/>
        <w:right w:val="none" w:sz="0" w:space="0" w:color="auto"/>
      </w:divBdr>
    </w:div>
    <w:div w:id="2067560157">
      <w:bodyDiv w:val="1"/>
      <w:marLeft w:val="0"/>
      <w:marRight w:val="0"/>
      <w:marTop w:val="0"/>
      <w:marBottom w:val="0"/>
      <w:divBdr>
        <w:top w:val="none" w:sz="0" w:space="0" w:color="auto"/>
        <w:left w:val="none" w:sz="0" w:space="0" w:color="auto"/>
        <w:bottom w:val="none" w:sz="0" w:space="0" w:color="auto"/>
        <w:right w:val="none" w:sz="0" w:space="0" w:color="auto"/>
      </w:divBdr>
    </w:div>
    <w:div w:id="2106800609">
      <w:bodyDiv w:val="1"/>
      <w:marLeft w:val="0"/>
      <w:marRight w:val="0"/>
      <w:marTop w:val="0"/>
      <w:marBottom w:val="0"/>
      <w:divBdr>
        <w:top w:val="none" w:sz="0" w:space="0" w:color="auto"/>
        <w:left w:val="none" w:sz="0" w:space="0" w:color="auto"/>
        <w:bottom w:val="none" w:sz="0" w:space="0" w:color="auto"/>
        <w:right w:val="none" w:sz="0" w:space="0" w:color="auto"/>
      </w:divBdr>
      <w:divsChild>
        <w:div w:id="161748520">
          <w:marLeft w:val="0"/>
          <w:marRight w:val="0"/>
          <w:marTop w:val="0"/>
          <w:marBottom w:val="0"/>
          <w:divBdr>
            <w:top w:val="none" w:sz="0" w:space="0" w:color="auto"/>
            <w:left w:val="none" w:sz="0" w:space="0" w:color="auto"/>
            <w:bottom w:val="none" w:sz="0" w:space="0" w:color="auto"/>
            <w:right w:val="none" w:sz="0" w:space="0" w:color="auto"/>
          </w:divBdr>
          <w:divsChild>
            <w:div w:id="199780216">
              <w:marLeft w:val="0"/>
              <w:marRight w:val="0"/>
              <w:marTop w:val="0"/>
              <w:marBottom w:val="0"/>
              <w:divBdr>
                <w:top w:val="none" w:sz="0" w:space="0" w:color="auto"/>
                <w:left w:val="none" w:sz="0" w:space="0" w:color="auto"/>
                <w:bottom w:val="none" w:sz="0" w:space="0" w:color="auto"/>
                <w:right w:val="none" w:sz="0" w:space="0" w:color="auto"/>
              </w:divBdr>
              <w:divsChild>
                <w:div w:id="145324411">
                  <w:marLeft w:val="0"/>
                  <w:marRight w:val="0"/>
                  <w:marTop w:val="0"/>
                  <w:marBottom w:val="0"/>
                  <w:divBdr>
                    <w:top w:val="none" w:sz="0" w:space="0" w:color="auto"/>
                    <w:left w:val="none" w:sz="0" w:space="0" w:color="auto"/>
                    <w:bottom w:val="none" w:sz="0" w:space="0" w:color="auto"/>
                    <w:right w:val="none" w:sz="0" w:space="0" w:color="auto"/>
                  </w:divBdr>
                  <w:divsChild>
                    <w:div w:id="1977221230">
                      <w:marLeft w:val="0"/>
                      <w:marRight w:val="0"/>
                      <w:marTop w:val="0"/>
                      <w:marBottom w:val="0"/>
                      <w:divBdr>
                        <w:top w:val="none" w:sz="0" w:space="0" w:color="auto"/>
                        <w:left w:val="none" w:sz="0" w:space="0" w:color="auto"/>
                        <w:bottom w:val="none" w:sz="0" w:space="0" w:color="auto"/>
                        <w:right w:val="none" w:sz="0" w:space="0" w:color="auto"/>
                      </w:divBdr>
                      <w:divsChild>
                        <w:div w:id="1125077064">
                          <w:marLeft w:val="0"/>
                          <w:marRight w:val="0"/>
                          <w:marTop w:val="0"/>
                          <w:marBottom w:val="0"/>
                          <w:divBdr>
                            <w:top w:val="none" w:sz="0" w:space="0" w:color="auto"/>
                            <w:left w:val="none" w:sz="0" w:space="0" w:color="auto"/>
                            <w:bottom w:val="none" w:sz="0" w:space="0" w:color="auto"/>
                            <w:right w:val="none" w:sz="0" w:space="0" w:color="auto"/>
                          </w:divBdr>
                          <w:divsChild>
                            <w:div w:id="1755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BA978-E5DB-4D36-B75B-E36D8BED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2137</Words>
  <Characters>12187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pbonser001</dc:creator>
  <cp:lastModifiedBy>Mansfield, Joanne</cp:lastModifiedBy>
  <cp:revision>2</cp:revision>
  <cp:lastPrinted>2015-12-18T12:39:00Z</cp:lastPrinted>
  <dcterms:created xsi:type="dcterms:W3CDTF">2016-12-22T10:38:00Z</dcterms:created>
  <dcterms:modified xsi:type="dcterms:W3CDTF">2016-12-22T10:38:00Z</dcterms:modified>
</cp:coreProperties>
</file>